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F4778" w14:textId="77777777" w:rsidR="00137E6C" w:rsidRDefault="00244A2A" w:rsidP="003627B6">
      <w:pPr>
        <w:pStyle w:val="ListBullet"/>
        <w:numPr>
          <w:ilvl w:val="0"/>
          <w:numId w:val="0"/>
        </w:numPr>
        <w:ind w:left="7655"/>
        <w:sectPr w:rsidR="00137E6C" w:rsidSect="00732663">
          <w:pgSz w:w="11900" w:h="16840"/>
          <w:pgMar w:top="0" w:right="679" w:bottom="1440" w:left="731" w:header="708" w:footer="708" w:gutter="0"/>
          <w:cols w:space="708"/>
          <w:docGrid w:linePitch="360"/>
        </w:sectPr>
      </w:pPr>
      <w:r>
        <w:rPr>
          <w:noProof/>
          <w:lang w:eastAsia="en-GB"/>
        </w:rPr>
        <mc:AlternateContent>
          <mc:Choice Requires="wps">
            <w:drawing>
              <wp:anchor distT="0" distB="0" distL="114300" distR="114300" simplePos="0" relativeHeight="251660288" behindDoc="0" locked="0" layoutInCell="1" allowOverlap="1" wp14:anchorId="7DA5870D" wp14:editId="523B0B56">
                <wp:simplePos x="0" y="0"/>
                <wp:positionH relativeFrom="column">
                  <wp:posOffset>-21590</wp:posOffset>
                </wp:positionH>
                <wp:positionV relativeFrom="paragraph">
                  <wp:posOffset>3726815</wp:posOffset>
                </wp:positionV>
                <wp:extent cx="3924300" cy="1466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24300" cy="1466850"/>
                        </a:xfrm>
                        <a:prstGeom prst="rect">
                          <a:avLst/>
                        </a:prstGeom>
                        <a:noFill/>
                        <a:ln w="6350">
                          <a:noFill/>
                        </a:ln>
                      </wps:spPr>
                      <wps:txbx>
                        <w:txbxContent>
                          <w:p w14:paraId="09CB82CC" w14:textId="77777777" w:rsidR="003627B6" w:rsidRPr="003627B6" w:rsidRDefault="00244A2A" w:rsidP="003627B6">
                            <w:pPr>
                              <w:autoSpaceDE w:val="0"/>
                              <w:autoSpaceDN w:val="0"/>
                              <w:adjustRightInd w:val="0"/>
                              <w:spacing w:after="0" w:line="288" w:lineRule="auto"/>
                              <w:textAlignment w:val="center"/>
                              <w:rPr>
                                <w:rFonts w:ascii="Tiempos Headline Semibold" w:hAnsi="Tiempos Headline Semibold" w:cs="Tiempos Headline Semibold"/>
                                <w:color w:val="90C262"/>
                                <w:sz w:val="72"/>
                                <w:szCs w:val="72"/>
                              </w:rPr>
                            </w:pPr>
                            <w:r>
                              <w:rPr>
                                <w:rFonts w:ascii="Tiempos Headline Semibold" w:hAnsi="Tiempos Headline Semibold" w:cs="Tiempos Headline Semibold"/>
                                <w:color w:val="90C262"/>
                                <w:sz w:val="72"/>
                                <w:szCs w:val="72"/>
                              </w:rPr>
                              <w:t>Investment Strategy Statement</w:t>
                            </w:r>
                          </w:p>
                          <w:p w14:paraId="5F657265" w14:textId="77777777" w:rsidR="00137E6C" w:rsidRPr="003627B6" w:rsidRDefault="00540554" w:rsidP="00137E6C">
                            <w:pPr>
                              <w:ind w:left="-284"/>
                              <w:rPr>
                                <w:color w:val="014B44"/>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DA5870D" id="_x0000_t202" coordsize="21600,21600" o:spt="202" path="m,l,21600r21600,l21600,xe">
                <v:stroke joinstyle="miter"/>
                <v:path gradientshapeok="t" o:connecttype="rect"/>
              </v:shapetype>
              <v:shape id="Text Box 8" o:spid="_x0000_s1026" type="#_x0000_t202" style="position:absolute;left:0;text-align:left;margin-left:-1.7pt;margin-top:293.45pt;width:309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" filled="f" stroked="f" strokeweight=".5pt">
                <v:textbox>
                  <w:txbxContent>
                    <w:p w14:paraId="09CB82CC" w14:textId="77777777" w:rsidR="003627B6" w:rsidRPr="003627B6" w:rsidRDefault="00244A2A" w:rsidP="003627B6">
                      <w:pPr>
                        <w:autoSpaceDE w:val="0"/>
                        <w:autoSpaceDN w:val="0"/>
                        <w:adjustRightInd w:val="0"/>
                        <w:spacing w:after="0" w:line="288" w:lineRule="auto"/>
                        <w:textAlignment w:val="center"/>
                        <w:rPr>
                          <w:rFonts w:ascii="Tiempos Headline Semibold" w:hAnsi="Tiempos Headline Semibold" w:cs="Tiempos Headline Semibold"/>
                          <w:color w:val="90C262"/>
                          <w:sz w:val="72"/>
                          <w:szCs w:val="72"/>
                        </w:rPr>
                      </w:pPr>
                      <w:r>
                        <w:rPr>
                          <w:rFonts w:ascii="Tiempos Headline Semibold" w:hAnsi="Tiempos Headline Semibold" w:cs="Tiempos Headline Semibold"/>
                          <w:color w:val="90C262"/>
                          <w:sz w:val="72"/>
                          <w:szCs w:val="72"/>
                        </w:rPr>
                        <w:t>Investment Strategy Statement</w:t>
                      </w:r>
                    </w:p>
                    <w:p w14:paraId="5F657265" w14:textId="77777777" w:rsidR="00137E6C" w:rsidRPr="003627B6" w:rsidRDefault="00244A2A" w:rsidP="00137E6C">
                      <w:pPr>
                        <w:ind w:left="-284"/>
                        <w:rPr>
                          <w:color w:val="014B44"/>
                          <w:sz w:val="72"/>
                          <w:szCs w:val="72"/>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E2EC7C5" wp14:editId="23B2AF21">
                <wp:simplePos x="0" y="0"/>
                <wp:positionH relativeFrom="column">
                  <wp:posOffset>1905</wp:posOffset>
                </wp:positionH>
                <wp:positionV relativeFrom="paragraph">
                  <wp:posOffset>5073643</wp:posOffset>
                </wp:positionV>
                <wp:extent cx="3924300" cy="787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24300" cy="787400"/>
                        </a:xfrm>
                        <a:prstGeom prst="rect">
                          <a:avLst/>
                        </a:prstGeom>
                        <a:noFill/>
                        <a:ln w="6350">
                          <a:noFill/>
                        </a:ln>
                      </wps:spPr>
                      <wps:txbx>
                        <w:txbxContent>
                          <w:p w14:paraId="7A38AAE3" w14:textId="27A43387" w:rsidR="003627B6" w:rsidRPr="003627B6" w:rsidRDefault="00244A2A" w:rsidP="003627B6">
                            <w:pPr>
                              <w:autoSpaceDE w:val="0"/>
                              <w:autoSpaceDN w:val="0"/>
                              <w:adjustRightInd w:val="0"/>
                              <w:spacing w:after="0" w:line="288" w:lineRule="auto"/>
                              <w:textAlignment w:val="center"/>
                              <w:rPr>
                                <w:rFonts w:ascii="MrEavesSanOT" w:hAnsi="MrEavesSanOT" w:cs="MrEavesSanOT"/>
                                <w:b/>
                                <w:bCs/>
                                <w:color w:val="92D050"/>
                                <w:sz w:val="28"/>
                                <w:szCs w:val="28"/>
                              </w:rPr>
                            </w:pPr>
                            <w:r>
                              <w:rPr>
                                <w:rFonts w:ascii="MrEavesSanOT" w:hAnsi="MrEavesSanOT" w:cs="MrEavesSanOT"/>
                                <w:b/>
                                <w:bCs/>
                                <w:color w:val="92D050"/>
                                <w:sz w:val="28"/>
                                <w:szCs w:val="28"/>
                              </w:rPr>
                              <w:t>Updated June 2021</w:t>
                            </w:r>
                          </w:p>
                          <w:p w14:paraId="6B00C5D7" w14:textId="77777777" w:rsidR="003627B6" w:rsidRPr="003627B6" w:rsidRDefault="00540554" w:rsidP="00137E6C">
                            <w:pPr>
                              <w:ind w:left="-284"/>
                              <w:rPr>
                                <w:color w:val="92D05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2EC7C5" id="Text Box 12" o:spid="_x0000_s1027" type="#_x0000_t202" style="position:absolute;left:0;text-align:left;margin-left:.15pt;margin-top:399.5pt;width:309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" filled="f" stroked="f" strokeweight=".5pt">
                <v:textbox>
                  <w:txbxContent>
                    <w:p w14:paraId="7A38AAE3" w14:textId="27A43387" w:rsidR="003627B6" w:rsidRPr="003627B6" w:rsidRDefault="00244A2A" w:rsidP="003627B6">
                      <w:pPr>
                        <w:autoSpaceDE w:val="0"/>
                        <w:autoSpaceDN w:val="0"/>
                        <w:adjustRightInd w:val="0"/>
                        <w:spacing w:after="0" w:line="288" w:lineRule="auto"/>
                        <w:textAlignment w:val="center"/>
                        <w:rPr>
                          <w:rFonts w:ascii="MrEavesSanOT" w:hAnsi="MrEavesSanOT" w:cs="MrEavesSanOT"/>
                          <w:b/>
                          <w:bCs/>
                          <w:color w:val="92D050"/>
                          <w:sz w:val="28"/>
                          <w:szCs w:val="28"/>
                        </w:rPr>
                      </w:pPr>
                      <w:r>
                        <w:rPr>
                          <w:rFonts w:ascii="MrEavesSanOT" w:hAnsi="MrEavesSanOT" w:cs="MrEavesSanOT"/>
                          <w:b/>
                          <w:bCs/>
                          <w:color w:val="92D050"/>
                          <w:sz w:val="28"/>
                          <w:szCs w:val="28"/>
                        </w:rPr>
                        <w:t xml:space="preserve">Updated </w:t>
                      </w:r>
                      <w:r>
                        <w:rPr>
                          <w:rFonts w:ascii="MrEavesSanOT" w:hAnsi="MrEavesSanOT" w:cs="MrEavesSanOT"/>
                          <w:b/>
                          <w:bCs/>
                          <w:color w:val="92D050"/>
                          <w:sz w:val="28"/>
                          <w:szCs w:val="28"/>
                        </w:rPr>
                        <w:t xml:space="preserve">June </w:t>
                      </w:r>
                      <w:r>
                        <w:rPr>
                          <w:rFonts w:ascii="MrEavesSanOT" w:hAnsi="MrEavesSanOT" w:cs="MrEavesSanOT"/>
                          <w:b/>
                          <w:bCs/>
                          <w:color w:val="92D050"/>
                          <w:sz w:val="28"/>
                          <w:szCs w:val="28"/>
                        </w:rPr>
                        <w:t>2021</w:t>
                      </w:r>
                    </w:p>
                    <w:p w14:paraId="6B00C5D7" w14:textId="77777777" w:rsidR="003627B6" w:rsidRPr="003627B6" w:rsidRDefault="00244A2A" w:rsidP="00137E6C">
                      <w:pPr>
                        <w:ind w:left="-284"/>
                        <w:rPr>
                          <w:color w:val="92D050"/>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8F5414F" wp14:editId="13D72FA5">
                <wp:simplePos x="0" y="0"/>
                <wp:positionH relativeFrom="column">
                  <wp:posOffset>-21590</wp:posOffset>
                </wp:positionH>
                <wp:positionV relativeFrom="paragraph">
                  <wp:posOffset>9736790</wp:posOffset>
                </wp:positionV>
                <wp:extent cx="4702629" cy="7874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02629" cy="787400"/>
                        </a:xfrm>
                        <a:prstGeom prst="rect">
                          <a:avLst/>
                        </a:prstGeom>
                        <a:noFill/>
                        <a:ln w="6350">
                          <a:noFill/>
                        </a:ln>
                      </wps:spPr>
                      <wps:txbx>
                        <w:txbxContent>
                          <w:p w14:paraId="3FAB3B6A" w14:textId="77777777" w:rsidR="00DF4BBA" w:rsidRDefault="00244A2A" w:rsidP="00DF4BBA">
                            <w:pPr>
                              <w:autoSpaceDE w:val="0"/>
                              <w:autoSpaceDN w:val="0"/>
                              <w:adjustRightInd w:val="0"/>
                              <w:spacing w:after="0" w:line="288" w:lineRule="auto"/>
                              <w:textAlignment w:val="center"/>
                              <w:rPr>
                                <w:rFonts w:ascii="Arial" w:hAnsi="Arial" w:cs="Arial"/>
                                <w:b/>
                                <w:bCs/>
                                <w:color w:val="004C45"/>
                                <w:sz w:val="22"/>
                                <w:szCs w:val="22"/>
                              </w:rPr>
                            </w:pPr>
                            <w:r w:rsidRPr="00DF4BBA">
                              <w:rPr>
                                <w:rFonts w:ascii="Arial" w:hAnsi="Arial" w:cs="Arial"/>
                                <w:b/>
                                <w:bCs/>
                                <w:color w:val="004C45"/>
                                <w:sz w:val="22"/>
                                <w:szCs w:val="22"/>
                              </w:rPr>
                              <w:t>lancashirecountypensionfund.org.uk</w:t>
                            </w:r>
                          </w:p>
                          <w:p w14:paraId="27132295" w14:textId="77777777" w:rsidR="003627B6" w:rsidRDefault="00540554" w:rsidP="00DF4BBA">
                            <w:pPr>
                              <w:autoSpaceDE w:val="0"/>
                              <w:autoSpaceDN w:val="0"/>
                              <w:adjustRightInd w:val="0"/>
                              <w:spacing w:after="0" w:line="288" w:lineRule="auto"/>
                              <w:textAlignment w:val="center"/>
                              <w:rPr>
                                <w:rFonts w:ascii="Arial" w:hAnsi="Arial" w:cs="Arial"/>
                                <w:b/>
                                <w:bCs/>
                                <w:color w:val="004C45"/>
                                <w:sz w:val="22"/>
                                <w:szCs w:val="22"/>
                              </w:rPr>
                            </w:pPr>
                          </w:p>
                          <w:p w14:paraId="24227623" w14:textId="77777777" w:rsidR="003627B6" w:rsidRPr="003627B6" w:rsidRDefault="00244A2A" w:rsidP="003627B6">
                            <w:pPr>
                              <w:autoSpaceDE w:val="0"/>
                              <w:autoSpaceDN w:val="0"/>
                              <w:adjustRightInd w:val="0"/>
                              <w:spacing w:after="0" w:line="288" w:lineRule="auto"/>
                              <w:textAlignment w:val="center"/>
                              <w:rPr>
                                <w:rFonts w:ascii="Arial" w:hAnsi="Arial" w:cs="Arial"/>
                                <w:color w:val="014B44"/>
                                <w:sz w:val="15"/>
                                <w:szCs w:val="15"/>
                              </w:rPr>
                            </w:pPr>
                            <w:r w:rsidRPr="003627B6">
                              <w:rPr>
                                <w:rFonts w:ascii="Arial" w:hAnsi="Arial" w:cs="Arial"/>
                                <w:color w:val="014B44"/>
                                <w:sz w:val="15"/>
                                <w:szCs w:val="15"/>
                              </w:rPr>
                              <w:t>Lancashire County Council as administering authority of Lancashire County Pension Fund</w:t>
                            </w:r>
                          </w:p>
                          <w:p w14:paraId="591AE58B" w14:textId="77777777" w:rsidR="003627B6" w:rsidRPr="00DF4BBA" w:rsidRDefault="00540554" w:rsidP="00DF4BBA">
                            <w:pPr>
                              <w:autoSpaceDE w:val="0"/>
                              <w:autoSpaceDN w:val="0"/>
                              <w:adjustRightInd w:val="0"/>
                              <w:spacing w:after="0" w:line="288" w:lineRule="auto"/>
                              <w:textAlignment w:val="center"/>
                              <w:rPr>
                                <w:rFonts w:ascii="Arial" w:hAnsi="Arial" w:cs="Arial"/>
                                <w:b/>
                                <w:bCs/>
                                <w:color w:val="004C45"/>
                                <w:sz w:val="22"/>
                                <w:szCs w:val="22"/>
                              </w:rPr>
                            </w:pPr>
                          </w:p>
                          <w:p w14:paraId="77E4F49D" w14:textId="77777777" w:rsidR="00137E6C" w:rsidRPr="00732663" w:rsidRDefault="00540554" w:rsidP="00137E6C">
                            <w:pPr>
                              <w:ind w:left="-284"/>
                              <w:rPr>
                                <w:color w:val="014B4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F5414F" id="Text Box 51" o:spid="_x0000_s1028" type="#_x0000_t202" style="position:absolute;left:0;text-align:left;margin-left:-1.7pt;margin-top:766.7pt;width:370.3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" filled="f" stroked="f" strokeweight=".5pt">
                <v:textbox>
                  <w:txbxContent>
                    <w:p w14:paraId="3FAB3B6A" w14:textId="77777777" w:rsidR="00DF4BBA" w:rsidRDefault="00244A2A" w:rsidP="00DF4BBA">
                      <w:pPr>
                        <w:autoSpaceDE w:val="0"/>
                        <w:autoSpaceDN w:val="0"/>
                        <w:adjustRightInd w:val="0"/>
                        <w:spacing w:after="0" w:line="288" w:lineRule="auto"/>
                        <w:textAlignment w:val="center"/>
                        <w:rPr>
                          <w:rFonts w:ascii="Arial" w:hAnsi="Arial" w:cs="Arial"/>
                          <w:b/>
                          <w:bCs/>
                          <w:color w:val="004C45"/>
                          <w:sz w:val="22"/>
                          <w:szCs w:val="22"/>
                        </w:rPr>
                      </w:pPr>
                      <w:r w:rsidRPr="00DF4BBA">
                        <w:rPr>
                          <w:rFonts w:ascii="Arial" w:hAnsi="Arial" w:cs="Arial"/>
                          <w:b/>
                          <w:bCs/>
                          <w:color w:val="004C45"/>
                          <w:sz w:val="22"/>
                          <w:szCs w:val="22"/>
                        </w:rPr>
                        <w:t>lancashirecountypensionfund.org.uk</w:t>
                      </w:r>
                    </w:p>
                    <w:p w14:paraId="27132295" w14:textId="77777777" w:rsidR="003627B6" w:rsidRDefault="00244A2A" w:rsidP="00DF4BBA">
                      <w:pPr>
                        <w:autoSpaceDE w:val="0"/>
                        <w:autoSpaceDN w:val="0"/>
                        <w:adjustRightInd w:val="0"/>
                        <w:spacing w:after="0" w:line="288" w:lineRule="auto"/>
                        <w:textAlignment w:val="center"/>
                        <w:rPr>
                          <w:rFonts w:ascii="Arial" w:hAnsi="Arial" w:cs="Arial"/>
                          <w:b/>
                          <w:bCs/>
                          <w:color w:val="004C45"/>
                          <w:sz w:val="22"/>
                          <w:szCs w:val="22"/>
                        </w:rPr>
                      </w:pPr>
                    </w:p>
                    <w:p w14:paraId="24227623" w14:textId="77777777" w:rsidR="003627B6" w:rsidRPr="003627B6" w:rsidRDefault="00244A2A" w:rsidP="003627B6">
                      <w:pPr>
                        <w:autoSpaceDE w:val="0"/>
                        <w:autoSpaceDN w:val="0"/>
                        <w:adjustRightInd w:val="0"/>
                        <w:spacing w:after="0" w:line="288" w:lineRule="auto"/>
                        <w:textAlignment w:val="center"/>
                        <w:rPr>
                          <w:rFonts w:ascii="Arial" w:hAnsi="Arial" w:cs="Arial"/>
                          <w:color w:val="014B44"/>
                          <w:sz w:val="15"/>
                          <w:szCs w:val="15"/>
                        </w:rPr>
                      </w:pPr>
                      <w:r w:rsidRPr="003627B6">
                        <w:rPr>
                          <w:rFonts w:ascii="Arial" w:hAnsi="Arial" w:cs="Arial"/>
                          <w:color w:val="014B44"/>
                          <w:sz w:val="15"/>
                          <w:szCs w:val="15"/>
                        </w:rPr>
                        <w:t>Lancashire County Council as administering authority of Lancashire County Pension Fund</w:t>
                      </w:r>
                    </w:p>
                    <w:p w14:paraId="591AE58B" w14:textId="77777777" w:rsidR="003627B6" w:rsidRPr="00DF4BBA" w:rsidRDefault="00244A2A" w:rsidP="00DF4BBA">
                      <w:pPr>
                        <w:autoSpaceDE w:val="0"/>
                        <w:autoSpaceDN w:val="0"/>
                        <w:adjustRightInd w:val="0"/>
                        <w:spacing w:after="0" w:line="288" w:lineRule="auto"/>
                        <w:textAlignment w:val="center"/>
                        <w:rPr>
                          <w:rFonts w:ascii="Arial" w:hAnsi="Arial" w:cs="Arial"/>
                          <w:b/>
                          <w:bCs/>
                          <w:color w:val="004C45"/>
                          <w:sz w:val="22"/>
                          <w:szCs w:val="22"/>
                        </w:rPr>
                      </w:pPr>
                    </w:p>
                    <w:p w14:paraId="77E4F49D" w14:textId="77777777" w:rsidR="00137E6C" w:rsidRPr="00732663" w:rsidRDefault="00244A2A" w:rsidP="00137E6C">
                      <w:pPr>
                        <w:ind w:left="-284"/>
                        <w:rPr>
                          <w:color w:val="014B44"/>
                        </w:rPr>
                      </w:pPr>
                    </w:p>
                  </w:txbxContent>
                </v:textbox>
              </v:shape>
            </w:pict>
          </mc:Fallback>
        </mc:AlternateContent>
      </w:r>
      <w:r>
        <w:rPr>
          <w:noProof/>
          <w:lang w:eastAsia="en-GB"/>
        </w:rPr>
        <w:drawing>
          <wp:inline distT="0" distB="0" distL="0" distR="0" wp14:anchorId="414B8C68" wp14:editId="0A5645DB">
            <wp:extent cx="2303166" cy="2450177"/>
            <wp:effectExtent l="0" t="0" r="0" b="127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95732" name="Picture 10"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710" cy="2464586"/>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anchorId="2AC28E65" wp14:editId="04DD7623">
                <wp:simplePos x="0" y="0"/>
                <wp:positionH relativeFrom="column">
                  <wp:posOffset>-19685</wp:posOffset>
                </wp:positionH>
                <wp:positionV relativeFrom="paragraph">
                  <wp:posOffset>431801</wp:posOffset>
                </wp:positionV>
                <wp:extent cx="3937000" cy="15240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937000" cy="1524000"/>
                        </a:xfrm>
                        <a:prstGeom prst="rect">
                          <a:avLst/>
                        </a:prstGeom>
                        <a:solidFill>
                          <a:schemeClr val="lt1"/>
                        </a:solidFill>
                        <a:ln w="6350">
                          <a:noFill/>
                        </a:ln>
                      </wps:spPr>
                      <wps:txbx>
                        <w:txbxContent>
                          <w:p w14:paraId="16B1DE80" w14:textId="77777777" w:rsidR="00137E6C" w:rsidRDefault="00244A2A" w:rsidP="00137E6C">
                            <w:r>
                              <w:rPr>
                                <w:noProof/>
                                <w:lang w:eastAsia="en-GB"/>
                              </w:rPr>
                              <w:drawing>
                                <wp:inline distT="0" distB="0" distL="0" distR="0" wp14:anchorId="6AC0B974" wp14:editId="7E97923F">
                                  <wp:extent cx="2260879" cy="866459"/>
                                  <wp:effectExtent l="0" t="0" r="0" b="0"/>
                                  <wp:docPr id="11904474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4158" name="LCPF Logo.png"/>
                                          <pic:cNvPicPr/>
                                        </pic:nvPicPr>
                                        <pic:blipFill>
                                          <a:blip r:embed="rId12">
                                            <a:extLst>
                                              <a:ext uri="{28A0092B-C50C-407E-A947-70E740481C1C}">
                                                <a14:useLocalDpi xmlns:a14="http://schemas.microsoft.com/office/drawing/2010/main" val="0"/>
                                              </a:ext>
                                            </a:extLst>
                                          </a:blip>
                                          <a:stretch>
                                            <a:fillRect/>
                                          </a:stretch>
                                        </pic:blipFill>
                                        <pic:spPr>
                                          <a:xfrm>
                                            <a:off x="0" y="0"/>
                                            <a:ext cx="2284630" cy="87556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C28E65" id="Text Box 52" o:spid="_x0000_s1029" type="#_x0000_t202" style="position:absolute;left:0;text-align:left;margin-left:-1.55pt;margin-top:34pt;width:310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" fillcolor="white [3201]" stroked="f" strokeweight=".5pt">
                <v:textbox>
                  <w:txbxContent>
                    <w:p w14:paraId="16B1DE80" w14:textId="77777777" w:rsidR="00137E6C" w:rsidRDefault="00244A2A" w:rsidP="00137E6C">
                      <w:r>
                        <w:rPr>
                          <w:noProof/>
                          <w:lang w:eastAsia="en-GB"/>
                        </w:rPr>
                        <w:drawing>
                          <wp:inline distT="0" distB="0" distL="0" distR="0" wp14:anchorId="6AC0B974" wp14:editId="7E97923F">
                            <wp:extent cx="2260879" cy="866459"/>
                            <wp:effectExtent l="0" t="0" r="0" b="0"/>
                            <wp:docPr id="11904474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4158" name="LCPF Logo.png"/>
                                    <pic:cNvPicPr/>
                                  </pic:nvPicPr>
                                  <pic:blipFill>
                                    <a:blip r:embed="rId13">
                                      <a:extLst>
                                        <a:ext uri="{28A0092B-C50C-407E-A947-70E740481C1C}">
                                          <a14:useLocalDpi xmlns:a14="http://schemas.microsoft.com/office/drawing/2010/main" val="0"/>
                                        </a:ext>
                                      </a:extLst>
                                    </a:blip>
                                    <a:stretch>
                                      <a:fillRect/>
                                    </a:stretch>
                                  </pic:blipFill>
                                  <pic:spPr>
                                    <a:xfrm>
                                      <a:off x="0" y="0"/>
                                      <a:ext cx="2284630" cy="875561"/>
                                    </a:xfrm>
                                    <a:prstGeom prst="rect">
                                      <a:avLst/>
                                    </a:prstGeom>
                                  </pic:spPr>
                                </pic:pic>
                              </a:graphicData>
                            </a:graphic>
                          </wp:inline>
                        </w:drawing>
                      </w:r>
                    </w:p>
                  </w:txbxContent>
                </v:textbox>
              </v:shape>
            </w:pict>
          </mc:Fallback>
        </mc:AlternateContent>
      </w:r>
    </w:p>
    <w:p w14:paraId="66658A2D" w14:textId="77777777" w:rsidR="00137E6C" w:rsidRPr="006D137F" w:rsidRDefault="00540554" w:rsidP="00137E6C"/>
    <w:p w14:paraId="6072DA67" w14:textId="77777777" w:rsidR="003627B6" w:rsidRDefault="00540554" w:rsidP="005739E9">
      <w:pPr>
        <w:pStyle w:val="SubHeading-Orange"/>
        <w:rPr>
          <w:rFonts w:ascii="Georgia" w:hAnsi="Georgia"/>
          <w:b/>
          <w:bCs/>
          <w:color w:val="004C45"/>
        </w:rPr>
      </w:pPr>
    </w:p>
    <w:p w14:paraId="31319D80" w14:textId="77777777" w:rsidR="005739E9" w:rsidRPr="00D059E2" w:rsidRDefault="00244A2A" w:rsidP="00752E37">
      <w:pPr>
        <w:pStyle w:val="SubHeading-Orange"/>
        <w:ind w:left="142"/>
        <w:rPr>
          <w:rFonts w:ascii="Georgia" w:hAnsi="Georgia"/>
          <w:b/>
          <w:bCs/>
          <w:color w:val="004C45"/>
          <w:sz w:val="56"/>
          <w:szCs w:val="56"/>
        </w:rPr>
      </w:pPr>
      <w:r>
        <w:rPr>
          <w:rFonts w:ascii="Georgia" w:hAnsi="Georgia"/>
          <w:b/>
          <w:bCs/>
          <w:color w:val="004C45"/>
          <w:sz w:val="56"/>
          <w:szCs w:val="56"/>
        </w:rPr>
        <w:t>Contents</w:t>
      </w:r>
    </w:p>
    <w:p w14:paraId="5774098C" w14:textId="77777777" w:rsidR="005739E9" w:rsidRDefault="00540554" w:rsidP="005739E9">
      <w:pPr>
        <w:pStyle w:val="SubHeading-Orange"/>
      </w:pPr>
    </w:p>
    <w:p w14:paraId="199F15BB" w14:textId="77777777" w:rsidR="003C5B97" w:rsidRDefault="00540554" w:rsidP="005739E9">
      <w:pPr>
        <w:pStyle w:val="SubHeading-Orange"/>
      </w:pPr>
    </w:p>
    <w:tbl>
      <w:tblPr>
        <w:tblStyle w:val="TableGrid"/>
        <w:tblW w:w="0" w:type="auto"/>
        <w:tblInd w:w="137" w:type="dxa"/>
        <w:tblLook w:val="04A0" w:firstRow="1" w:lastRow="0" w:firstColumn="1" w:lastColumn="0" w:noHBand="0" w:noVBand="1"/>
      </w:tblPr>
      <w:tblGrid>
        <w:gridCol w:w="7938"/>
        <w:gridCol w:w="2528"/>
      </w:tblGrid>
      <w:tr w:rsidR="00FF1560" w14:paraId="0618F95A" w14:textId="77777777" w:rsidTr="000A35BD">
        <w:tc>
          <w:tcPr>
            <w:tcW w:w="7938" w:type="dxa"/>
          </w:tcPr>
          <w:p w14:paraId="0711608F" w14:textId="77777777" w:rsidR="003C5B97" w:rsidRPr="003C5B97" w:rsidRDefault="00244A2A">
            <w:pPr>
              <w:rPr>
                <w:sz w:val="28"/>
                <w:szCs w:val="28"/>
              </w:rPr>
            </w:pPr>
            <w:r w:rsidRPr="003C5B97">
              <w:rPr>
                <w:sz w:val="28"/>
                <w:szCs w:val="28"/>
              </w:rPr>
              <w:t>Int</w:t>
            </w:r>
            <w:r>
              <w:rPr>
                <w:sz w:val="28"/>
                <w:szCs w:val="28"/>
              </w:rPr>
              <w:t>roduction</w:t>
            </w:r>
          </w:p>
        </w:tc>
        <w:tc>
          <w:tcPr>
            <w:tcW w:w="2528" w:type="dxa"/>
          </w:tcPr>
          <w:p w14:paraId="40B1F536" w14:textId="77777777" w:rsidR="003C5B97" w:rsidRPr="003C5B97" w:rsidRDefault="00244A2A" w:rsidP="00BD609C">
            <w:pPr>
              <w:jc w:val="center"/>
              <w:rPr>
                <w:sz w:val="28"/>
                <w:szCs w:val="28"/>
              </w:rPr>
            </w:pPr>
            <w:r>
              <w:rPr>
                <w:sz w:val="28"/>
                <w:szCs w:val="28"/>
              </w:rPr>
              <w:t>2</w:t>
            </w:r>
          </w:p>
        </w:tc>
      </w:tr>
      <w:tr w:rsidR="00FF1560" w14:paraId="73F13289" w14:textId="77777777" w:rsidTr="000A35BD">
        <w:tc>
          <w:tcPr>
            <w:tcW w:w="7938" w:type="dxa"/>
          </w:tcPr>
          <w:p w14:paraId="0722B848" w14:textId="77777777" w:rsidR="003C5B97" w:rsidRPr="003C5B97" w:rsidRDefault="00244A2A">
            <w:pPr>
              <w:rPr>
                <w:sz w:val="28"/>
                <w:szCs w:val="28"/>
              </w:rPr>
            </w:pPr>
            <w:r>
              <w:rPr>
                <w:sz w:val="28"/>
                <w:szCs w:val="28"/>
              </w:rPr>
              <w:t>Investment Objectives</w:t>
            </w:r>
          </w:p>
        </w:tc>
        <w:tc>
          <w:tcPr>
            <w:tcW w:w="2528" w:type="dxa"/>
          </w:tcPr>
          <w:p w14:paraId="5A0459AD" w14:textId="77777777" w:rsidR="003C5B97" w:rsidRPr="003C5B97" w:rsidRDefault="00244A2A" w:rsidP="00BD609C">
            <w:pPr>
              <w:jc w:val="center"/>
              <w:rPr>
                <w:sz w:val="28"/>
                <w:szCs w:val="28"/>
              </w:rPr>
            </w:pPr>
            <w:r>
              <w:rPr>
                <w:sz w:val="28"/>
                <w:szCs w:val="28"/>
              </w:rPr>
              <w:t>2</w:t>
            </w:r>
          </w:p>
        </w:tc>
      </w:tr>
      <w:tr w:rsidR="00FF1560" w14:paraId="7782B3C0" w14:textId="77777777" w:rsidTr="000A35BD">
        <w:tc>
          <w:tcPr>
            <w:tcW w:w="7938" w:type="dxa"/>
          </w:tcPr>
          <w:p w14:paraId="072CB92B" w14:textId="77777777" w:rsidR="003C5B97" w:rsidRPr="003C5B97" w:rsidRDefault="00244A2A">
            <w:pPr>
              <w:rPr>
                <w:sz w:val="28"/>
                <w:szCs w:val="28"/>
              </w:rPr>
            </w:pPr>
            <w:r>
              <w:rPr>
                <w:sz w:val="28"/>
                <w:szCs w:val="28"/>
              </w:rPr>
              <w:t>Investment Governance</w:t>
            </w:r>
          </w:p>
        </w:tc>
        <w:tc>
          <w:tcPr>
            <w:tcW w:w="2528" w:type="dxa"/>
          </w:tcPr>
          <w:p w14:paraId="59C862CA" w14:textId="77777777" w:rsidR="003C5B97" w:rsidRPr="003C5B97" w:rsidRDefault="00244A2A" w:rsidP="00BD609C">
            <w:pPr>
              <w:jc w:val="center"/>
              <w:rPr>
                <w:sz w:val="28"/>
                <w:szCs w:val="28"/>
              </w:rPr>
            </w:pPr>
            <w:r>
              <w:rPr>
                <w:sz w:val="28"/>
                <w:szCs w:val="28"/>
              </w:rPr>
              <w:t>2</w:t>
            </w:r>
          </w:p>
        </w:tc>
      </w:tr>
      <w:tr w:rsidR="00FF1560" w14:paraId="31AA62DC" w14:textId="77777777" w:rsidTr="000A35BD">
        <w:tc>
          <w:tcPr>
            <w:tcW w:w="7938" w:type="dxa"/>
          </w:tcPr>
          <w:p w14:paraId="6C36BAD1" w14:textId="77777777" w:rsidR="003C5B97" w:rsidRPr="003C5B97" w:rsidRDefault="00244A2A">
            <w:pPr>
              <w:rPr>
                <w:sz w:val="28"/>
                <w:szCs w:val="28"/>
              </w:rPr>
            </w:pPr>
            <w:r>
              <w:rPr>
                <w:sz w:val="28"/>
                <w:szCs w:val="28"/>
              </w:rPr>
              <w:t>Asset Allocation Framework</w:t>
            </w:r>
          </w:p>
        </w:tc>
        <w:tc>
          <w:tcPr>
            <w:tcW w:w="2528" w:type="dxa"/>
          </w:tcPr>
          <w:p w14:paraId="0AA9DDB0" w14:textId="77777777" w:rsidR="003C5B97" w:rsidRPr="003C5B97" w:rsidRDefault="00244A2A" w:rsidP="00BD609C">
            <w:pPr>
              <w:jc w:val="center"/>
              <w:rPr>
                <w:sz w:val="28"/>
                <w:szCs w:val="28"/>
              </w:rPr>
            </w:pPr>
            <w:r>
              <w:rPr>
                <w:sz w:val="28"/>
                <w:szCs w:val="28"/>
              </w:rPr>
              <w:t>3</w:t>
            </w:r>
          </w:p>
        </w:tc>
      </w:tr>
      <w:tr w:rsidR="00FF1560" w14:paraId="25B4CB2F" w14:textId="77777777" w:rsidTr="000A35BD">
        <w:tc>
          <w:tcPr>
            <w:tcW w:w="7938" w:type="dxa"/>
          </w:tcPr>
          <w:p w14:paraId="709F550E" w14:textId="77777777" w:rsidR="001728C8" w:rsidRPr="00842A33" w:rsidRDefault="00244A2A">
            <w:pPr>
              <w:rPr>
                <w:sz w:val="28"/>
                <w:szCs w:val="28"/>
              </w:rPr>
            </w:pPr>
            <w:r>
              <w:rPr>
                <w:sz w:val="28"/>
                <w:szCs w:val="28"/>
              </w:rPr>
              <w:t>Risk Management</w:t>
            </w:r>
          </w:p>
        </w:tc>
        <w:tc>
          <w:tcPr>
            <w:tcW w:w="2528" w:type="dxa"/>
          </w:tcPr>
          <w:p w14:paraId="2B8EF0B3" w14:textId="77777777" w:rsidR="001728C8" w:rsidRDefault="00244A2A" w:rsidP="00BD609C">
            <w:pPr>
              <w:jc w:val="center"/>
              <w:rPr>
                <w:sz w:val="28"/>
                <w:szCs w:val="28"/>
              </w:rPr>
            </w:pPr>
            <w:r>
              <w:rPr>
                <w:sz w:val="28"/>
                <w:szCs w:val="28"/>
              </w:rPr>
              <w:t>6</w:t>
            </w:r>
          </w:p>
        </w:tc>
      </w:tr>
      <w:tr w:rsidR="00FF1560" w14:paraId="47E30C15" w14:textId="77777777" w:rsidTr="000A35BD">
        <w:tc>
          <w:tcPr>
            <w:tcW w:w="7938" w:type="dxa"/>
          </w:tcPr>
          <w:p w14:paraId="23E3A0D8" w14:textId="77777777" w:rsidR="003C5B97" w:rsidRPr="003C5B97" w:rsidRDefault="00244A2A">
            <w:pPr>
              <w:rPr>
                <w:sz w:val="28"/>
                <w:szCs w:val="28"/>
              </w:rPr>
            </w:pPr>
            <w:r w:rsidRPr="00D70790">
              <w:rPr>
                <w:sz w:val="28"/>
                <w:szCs w:val="28"/>
              </w:rPr>
              <w:t>Environmental Social and Corporate Governance (ESG) Policy, and approach to social investments</w:t>
            </w:r>
          </w:p>
        </w:tc>
        <w:tc>
          <w:tcPr>
            <w:tcW w:w="2528" w:type="dxa"/>
          </w:tcPr>
          <w:p w14:paraId="6E9E3EFB" w14:textId="56351583" w:rsidR="003C5B97" w:rsidRPr="003C5B97" w:rsidRDefault="00244A2A" w:rsidP="00BD609C">
            <w:pPr>
              <w:jc w:val="center"/>
              <w:rPr>
                <w:sz w:val="28"/>
                <w:szCs w:val="28"/>
              </w:rPr>
            </w:pPr>
            <w:r>
              <w:rPr>
                <w:sz w:val="28"/>
                <w:szCs w:val="28"/>
              </w:rPr>
              <w:t>6</w:t>
            </w:r>
          </w:p>
        </w:tc>
      </w:tr>
    </w:tbl>
    <w:p w14:paraId="6C5366DB" w14:textId="77777777" w:rsidR="003C5B97" w:rsidRDefault="00540554"/>
    <w:p w14:paraId="569DC89B" w14:textId="77777777" w:rsidR="003C5B97" w:rsidRDefault="00540554"/>
    <w:p w14:paraId="7E25D59F" w14:textId="77777777" w:rsidR="003C5B97" w:rsidRDefault="00540554"/>
    <w:p w14:paraId="0C812382" w14:textId="77777777" w:rsidR="003C5B97" w:rsidRDefault="00540554"/>
    <w:p w14:paraId="513BF7AF" w14:textId="77777777" w:rsidR="005739E9" w:rsidRDefault="00244A2A">
      <w:r>
        <w:br w:type="page"/>
      </w:r>
    </w:p>
    <w:p w14:paraId="0499DD07" w14:textId="77777777" w:rsidR="003C5B97" w:rsidRPr="006D137F" w:rsidRDefault="00540554" w:rsidP="003C5B97"/>
    <w:p w14:paraId="1DC110F7" w14:textId="77777777" w:rsidR="003C5B97" w:rsidRDefault="00540554" w:rsidP="003C5B97">
      <w:pPr>
        <w:pStyle w:val="SubHeading-Orange"/>
        <w:rPr>
          <w:rFonts w:ascii="Georgia" w:hAnsi="Georgia"/>
          <w:b/>
          <w:bCs/>
          <w:color w:val="004C45"/>
        </w:rPr>
      </w:pPr>
    </w:p>
    <w:p w14:paraId="12B488C8" w14:textId="77777777" w:rsidR="003C5B97" w:rsidRPr="00740568" w:rsidRDefault="00244A2A" w:rsidP="00740568">
      <w:pPr>
        <w:pStyle w:val="SubHeading-Orange"/>
        <w:rPr>
          <w:rFonts w:asciiTheme="majorHAnsi" w:hAnsiTheme="majorHAnsi"/>
          <w:b/>
          <w:bCs/>
          <w:color w:val="004C45"/>
          <w:sz w:val="56"/>
          <w:szCs w:val="56"/>
        </w:rPr>
      </w:pPr>
      <w:r w:rsidRPr="00740568">
        <w:rPr>
          <w:rFonts w:asciiTheme="majorHAnsi" w:hAnsiTheme="majorHAnsi"/>
          <w:b/>
          <w:bCs/>
          <w:color w:val="004C45"/>
          <w:sz w:val="56"/>
          <w:szCs w:val="56"/>
        </w:rPr>
        <w:t>Introduction</w:t>
      </w:r>
    </w:p>
    <w:p w14:paraId="32F02B36" w14:textId="77777777" w:rsidR="003C5B97" w:rsidRPr="0093691E" w:rsidRDefault="00540554" w:rsidP="006005FD">
      <w:pPr>
        <w:spacing w:after="0"/>
        <w:rPr>
          <w:rFonts w:cs="Arial"/>
          <w:b/>
        </w:rPr>
      </w:pPr>
    </w:p>
    <w:p w14:paraId="42B68631" w14:textId="77777777" w:rsidR="001A6106" w:rsidRPr="00A4540B" w:rsidRDefault="00244A2A" w:rsidP="001A6106">
      <w:pPr>
        <w:autoSpaceDE w:val="0"/>
        <w:autoSpaceDN w:val="0"/>
        <w:adjustRightInd w:val="0"/>
        <w:jc w:val="both"/>
        <w:rPr>
          <w:rFonts w:cs="Arial"/>
        </w:rPr>
      </w:pPr>
      <w:r w:rsidRPr="00A4540B">
        <w:rPr>
          <w:rFonts w:cs="Arial"/>
        </w:rPr>
        <w:t>Lancashire County Council (“LCC”) is the administering authority of the Lancashire County Pension Fund (the “Fund”).  This Investment Strategy Statement (“the Statement”) has been prepared in accordance with DCLG guidance on Preparing and Maintaining an Investment Strategy Statement (</w:t>
      </w:r>
      <w:r>
        <w:rPr>
          <w:rFonts w:cs="Arial"/>
        </w:rPr>
        <w:t>July 2017</w:t>
      </w:r>
      <w:r w:rsidRPr="00A4540B">
        <w:rPr>
          <w:rFonts w:cs="Arial"/>
        </w:rPr>
        <w:t xml:space="preserve">) and after taking appropriate advice. </w:t>
      </w:r>
    </w:p>
    <w:p w14:paraId="6F46DBE4" w14:textId="77777777" w:rsidR="001A6106" w:rsidRPr="00A4540B" w:rsidRDefault="00540554" w:rsidP="001A6106">
      <w:pPr>
        <w:jc w:val="both"/>
        <w:rPr>
          <w:rFonts w:cs="Arial"/>
        </w:rPr>
      </w:pPr>
    </w:p>
    <w:p w14:paraId="0C6EAEB8" w14:textId="77777777" w:rsidR="001A6106" w:rsidRPr="00A4540B" w:rsidRDefault="00244A2A" w:rsidP="001A6106">
      <w:pPr>
        <w:jc w:val="both"/>
        <w:rPr>
          <w:rFonts w:cs="Arial"/>
        </w:rPr>
      </w:pPr>
      <w:r w:rsidRPr="00A4540B">
        <w:rPr>
          <w:rFonts w:cs="Arial"/>
        </w:rPr>
        <w:t xml:space="preserve">As set out in the Regulations, the </w:t>
      </w:r>
      <w:r>
        <w:rPr>
          <w:rFonts w:cs="Arial"/>
        </w:rPr>
        <w:t xml:space="preserve">Pension Fund </w:t>
      </w:r>
      <w:r w:rsidRPr="00A4540B">
        <w:rPr>
          <w:rFonts w:cs="Arial"/>
        </w:rPr>
        <w:t xml:space="preserve">Committee </w:t>
      </w:r>
      <w:r>
        <w:rPr>
          <w:rFonts w:cs="Arial"/>
        </w:rPr>
        <w:t xml:space="preserve">(the "Committee") </w:t>
      </w:r>
      <w:r w:rsidRPr="00A4540B">
        <w:rPr>
          <w:rFonts w:cs="Arial"/>
        </w:rPr>
        <w:t xml:space="preserve">will review this Statement from time to time, but at least every three years, and revise it as necessary. Also, in the event of a significant change in relation to any matter contained in this Statement, changes will be reflected within six months of the change occurring. </w:t>
      </w:r>
    </w:p>
    <w:p w14:paraId="0D318A1C" w14:textId="77777777" w:rsidR="001A6106" w:rsidRPr="00A4540B" w:rsidRDefault="00540554" w:rsidP="001A6106">
      <w:pPr>
        <w:jc w:val="both"/>
        <w:rPr>
          <w:rFonts w:cs="Arial"/>
        </w:rPr>
      </w:pPr>
    </w:p>
    <w:p w14:paraId="408C0FAA" w14:textId="77777777" w:rsidR="001A6106" w:rsidRDefault="00244A2A" w:rsidP="001A6106">
      <w:pPr>
        <w:jc w:val="both"/>
        <w:rPr>
          <w:rFonts w:cs="Arial"/>
        </w:rPr>
      </w:pPr>
      <w:r w:rsidRPr="007C3632">
        <w:rPr>
          <w:rFonts w:cs="Arial"/>
        </w:rPr>
        <w:t>The Regulations require all Administering Authorities to take “proper advice” when formulating an investment strategy. In preparing this document and the overall investment strategy the Committee has taken advice from</w:t>
      </w:r>
      <w:r>
        <w:rPr>
          <w:rFonts w:cs="Arial"/>
        </w:rPr>
        <w:t xml:space="preserve"> the LCPF Investment Panel (the "Panel", a panel of independent advisors appointed by LCC for the purpose of providing advice on pension related matters) and </w:t>
      </w:r>
      <w:r w:rsidRPr="007C3632">
        <w:rPr>
          <w:rFonts w:cs="Arial"/>
        </w:rPr>
        <w:t>Local Pension Partnership Investment Limited</w:t>
      </w:r>
      <w:r>
        <w:rPr>
          <w:rFonts w:cs="Arial"/>
        </w:rPr>
        <w:t xml:space="preserve"> (LPP I)</w:t>
      </w:r>
      <w:r w:rsidRPr="007C3632">
        <w:rPr>
          <w:rFonts w:cs="Arial"/>
        </w:rPr>
        <w:t xml:space="preserve"> which </w:t>
      </w:r>
      <w:r>
        <w:rPr>
          <w:rFonts w:cs="Arial"/>
        </w:rPr>
        <w:t>is a</w:t>
      </w:r>
      <w:r w:rsidRPr="007C3632">
        <w:rPr>
          <w:rFonts w:cs="Arial"/>
        </w:rPr>
        <w:t xml:space="preserve"> FCA regulated investment manager with specific expertise and regulatory permissions to provide advice on investments. </w:t>
      </w:r>
    </w:p>
    <w:p w14:paraId="5841CF23" w14:textId="77777777" w:rsidR="001A6106" w:rsidRDefault="00540554" w:rsidP="001A6106">
      <w:pPr>
        <w:jc w:val="both"/>
        <w:rPr>
          <w:rFonts w:cs="Arial"/>
        </w:rPr>
      </w:pPr>
    </w:p>
    <w:p w14:paraId="6FB45E82" w14:textId="77777777" w:rsidR="001A6106" w:rsidRDefault="00244A2A" w:rsidP="001A6106">
      <w:r w:rsidRPr="00165A35">
        <w:t>In 2000, the Government commissioned a ‘Review of Institutional Investment in the</w:t>
      </w:r>
      <w:r>
        <w:t xml:space="preserve"> United Kingdom’ by Paul </w:t>
      </w:r>
      <w:proofErr w:type="spellStart"/>
      <w:r>
        <w:t>Myners</w:t>
      </w:r>
      <w:proofErr w:type="spellEnd"/>
      <w:r>
        <w:t xml:space="preserve">. Following the report </w:t>
      </w:r>
      <w:r w:rsidRPr="00165A35">
        <w:t>the Government issued a set of investment principles</w:t>
      </w:r>
      <w:r>
        <w:t xml:space="preserve"> which have subsequently been reviewed by </w:t>
      </w:r>
      <w:r w:rsidRPr="00165A35">
        <w:t>HM Treasury</w:t>
      </w:r>
      <w:r>
        <w:t>.  The Fund has considered the principles and considers that it is compliant with them.</w:t>
      </w:r>
    </w:p>
    <w:p w14:paraId="759A9789" w14:textId="77777777" w:rsidR="001A6106" w:rsidRPr="007C3632" w:rsidRDefault="00540554" w:rsidP="001A6106">
      <w:pPr>
        <w:jc w:val="both"/>
        <w:rPr>
          <w:rFonts w:cs="Arial"/>
        </w:rPr>
      </w:pPr>
    </w:p>
    <w:p w14:paraId="46B45BC7" w14:textId="77777777" w:rsidR="001A6106" w:rsidRDefault="00244A2A" w:rsidP="001A6106">
      <w:pPr>
        <w:jc w:val="both"/>
        <w:rPr>
          <w:rFonts w:cs="Arial"/>
          <w:b/>
        </w:rPr>
      </w:pPr>
      <w:r>
        <w:rPr>
          <w:rFonts w:cs="Arial"/>
          <w:b/>
        </w:rPr>
        <w:t xml:space="preserve">2. </w:t>
      </w:r>
      <w:r w:rsidRPr="007C3632">
        <w:rPr>
          <w:rFonts w:cs="Arial"/>
          <w:b/>
        </w:rPr>
        <w:t>Investment Objectives</w:t>
      </w:r>
    </w:p>
    <w:p w14:paraId="1031C89F" w14:textId="77777777" w:rsidR="001A6106" w:rsidRDefault="00540554" w:rsidP="001A6106">
      <w:pPr>
        <w:jc w:val="both"/>
        <w:rPr>
          <w:rFonts w:cs="Arial"/>
          <w:b/>
        </w:rPr>
      </w:pPr>
    </w:p>
    <w:p w14:paraId="60EA41BE" w14:textId="77777777" w:rsidR="001A6106" w:rsidRPr="007C3632" w:rsidRDefault="00244A2A" w:rsidP="001A6106">
      <w:pPr>
        <w:jc w:val="both"/>
        <w:rPr>
          <w:rFonts w:cs="Arial"/>
        </w:rPr>
      </w:pPr>
      <w:r w:rsidRPr="007C3632">
        <w:rPr>
          <w:rFonts w:cs="Arial"/>
        </w:rPr>
        <w:t xml:space="preserve">The Fund’s primary investment objective is to ensure that over the long term the Fund will have sufficient assets to meet all pension liabilities as they fall due. </w:t>
      </w:r>
    </w:p>
    <w:p w14:paraId="15E908E4" w14:textId="77777777" w:rsidR="001A6106" w:rsidRPr="00B23A81" w:rsidRDefault="00540554" w:rsidP="001A6106">
      <w:pPr>
        <w:jc w:val="both"/>
        <w:rPr>
          <w:rFonts w:cs="Arial"/>
        </w:rPr>
      </w:pPr>
    </w:p>
    <w:p w14:paraId="2806D7C4" w14:textId="77777777" w:rsidR="001A6106" w:rsidRPr="00B23A81" w:rsidRDefault="00244A2A" w:rsidP="001A6106">
      <w:pPr>
        <w:jc w:val="both"/>
        <w:rPr>
          <w:rFonts w:cs="Arial"/>
        </w:rPr>
      </w:pPr>
      <w:r w:rsidRPr="00B23A81">
        <w:rPr>
          <w:rFonts w:cs="Arial"/>
        </w:rPr>
        <w:t xml:space="preserve">In order to meet this overriding objective the Committee maintains an investment policy so as to: </w:t>
      </w:r>
    </w:p>
    <w:p w14:paraId="299031E0" w14:textId="77777777" w:rsidR="001A6106" w:rsidRPr="00B23A81" w:rsidRDefault="00244A2A" w:rsidP="001A6106">
      <w:pPr>
        <w:pStyle w:val="ListParagraph"/>
        <w:numPr>
          <w:ilvl w:val="0"/>
          <w:numId w:val="18"/>
        </w:numPr>
        <w:autoSpaceDE/>
        <w:autoSpaceDN/>
        <w:adjustRightInd/>
        <w:spacing w:after="0"/>
        <w:rPr>
          <w:rFonts w:asciiTheme="minorHAnsi" w:hAnsiTheme="minorHAnsi" w:cs="Arial"/>
        </w:rPr>
      </w:pPr>
      <w:r w:rsidRPr="00B23A81">
        <w:rPr>
          <w:rFonts w:asciiTheme="minorHAnsi" w:hAnsiTheme="minorHAnsi" w:cs="Arial"/>
        </w:rPr>
        <w:t xml:space="preserve">Maximise the returns from investments whilst keeping risk within acceptable levels and ensuring liquidity requirements are at all times met; </w:t>
      </w:r>
    </w:p>
    <w:p w14:paraId="1BD636A5" w14:textId="77777777" w:rsidR="001A6106" w:rsidRPr="00B23A81" w:rsidRDefault="00244A2A" w:rsidP="001A6106">
      <w:pPr>
        <w:pStyle w:val="ListParagraph"/>
        <w:numPr>
          <w:ilvl w:val="0"/>
          <w:numId w:val="18"/>
        </w:numPr>
        <w:autoSpaceDE/>
        <w:autoSpaceDN/>
        <w:adjustRightInd/>
        <w:spacing w:after="0"/>
        <w:rPr>
          <w:rFonts w:asciiTheme="minorHAnsi" w:hAnsiTheme="minorHAnsi" w:cs="Arial"/>
        </w:rPr>
      </w:pPr>
      <w:r w:rsidRPr="00B23A81">
        <w:rPr>
          <w:rFonts w:asciiTheme="minorHAnsi" w:hAnsiTheme="minorHAnsi" w:cs="Arial"/>
        </w:rPr>
        <w:t xml:space="preserve">Contribute towards achieving and maintaining a future funding level of 100%; </w:t>
      </w:r>
    </w:p>
    <w:p w14:paraId="03FB0A5F" w14:textId="77777777" w:rsidR="001A6106" w:rsidRPr="00B23A81" w:rsidRDefault="00540554" w:rsidP="001A6106">
      <w:pPr>
        <w:jc w:val="both"/>
        <w:rPr>
          <w:rFonts w:cs="Arial"/>
        </w:rPr>
      </w:pPr>
    </w:p>
    <w:p w14:paraId="50C99B5A" w14:textId="77777777" w:rsidR="001A6106" w:rsidRDefault="00244A2A" w:rsidP="001A6106">
      <w:pPr>
        <w:jc w:val="both"/>
        <w:rPr>
          <w:rFonts w:cs="Arial"/>
        </w:rPr>
      </w:pPr>
      <w:r w:rsidRPr="00B23A81">
        <w:rPr>
          <w:rFonts w:cs="Arial"/>
        </w:rPr>
        <w:t>The Fund will use its influence as a large institutional investor to encourage responsible long-term behaviour, which includes</w:t>
      </w:r>
      <w:r>
        <w:rPr>
          <w:rFonts w:cs="Arial"/>
        </w:rPr>
        <w:t xml:space="preserve"> exercise of voting rights and ownership, delegated to LPP I and overseen by the Committee.</w:t>
      </w:r>
    </w:p>
    <w:p w14:paraId="6159B86A" w14:textId="77777777" w:rsidR="001A6106" w:rsidRDefault="00540554" w:rsidP="001A6106">
      <w:pPr>
        <w:jc w:val="both"/>
        <w:rPr>
          <w:rFonts w:cs="Arial"/>
        </w:rPr>
      </w:pPr>
    </w:p>
    <w:p w14:paraId="4A04A9DA" w14:textId="77777777" w:rsidR="001A6106" w:rsidRDefault="00244A2A" w:rsidP="001A6106">
      <w:pPr>
        <w:jc w:val="both"/>
        <w:rPr>
          <w:rFonts w:cs="Arial"/>
          <w:b/>
        </w:rPr>
      </w:pPr>
      <w:r>
        <w:rPr>
          <w:rFonts w:cs="Arial"/>
          <w:b/>
        </w:rPr>
        <w:t xml:space="preserve">3. </w:t>
      </w:r>
      <w:r w:rsidRPr="007C3632">
        <w:rPr>
          <w:rFonts w:cs="Arial"/>
          <w:b/>
        </w:rPr>
        <w:t>Investment Governance</w:t>
      </w:r>
    </w:p>
    <w:p w14:paraId="2FF4E6E3" w14:textId="77777777" w:rsidR="001A6106" w:rsidRDefault="00540554" w:rsidP="001A6106">
      <w:pPr>
        <w:jc w:val="both"/>
        <w:rPr>
          <w:rFonts w:cs="Arial"/>
          <w:b/>
        </w:rPr>
      </w:pPr>
    </w:p>
    <w:p w14:paraId="614A725F" w14:textId="77777777" w:rsidR="001A6106" w:rsidRDefault="00244A2A" w:rsidP="001A6106">
      <w:pPr>
        <w:jc w:val="both"/>
        <w:rPr>
          <w:rFonts w:cs="Arial"/>
        </w:rPr>
      </w:pPr>
      <w:r>
        <w:rPr>
          <w:rFonts w:cs="Arial"/>
        </w:rPr>
        <w:t>The Committee</w:t>
      </w:r>
      <w:r w:rsidRPr="007C3632">
        <w:rPr>
          <w:rFonts w:cs="Arial"/>
        </w:rPr>
        <w:t xml:space="preserve"> is responsible for </w:t>
      </w:r>
      <w:r>
        <w:rPr>
          <w:rFonts w:cs="Arial"/>
        </w:rPr>
        <w:t>approving</w:t>
      </w:r>
      <w:r w:rsidRPr="00B75753">
        <w:rPr>
          <w:rFonts w:cs="Arial"/>
        </w:rPr>
        <w:t xml:space="preserve"> and review</w:t>
      </w:r>
      <w:r>
        <w:rPr>
          <w:rFonts w:cs="Arial"/>
        </w:rPr>
        <w:t>ing</w:t>
      </w:r>
      <w:r w:rsidRPr="00B75753">
        <w:rPr>
          <w:rFonts w:cs="Arial"/>
        </w:rPr>
        <w:t xml:space="preserve"> on a regular basis an overall Investment Strategy and </w:t>
      </w:r>
      <w:r>
        <w:rPr>
          <w:rFonts w:cs="Arial"/>
        </w:rPr>
        <w:t xml:space="preserve">determining asset allocation to </w:t>
      </w:r>
      <w:r w:rsidRPr="00B75753">
        <w:rPr>
          <w:rFonts w:cs="Arial"/>
        </w:rPr>
        <w:t>such asset classes as the Panel consider appropriate</w:t>
      </w:r>
      <w:r>
        <w:rPr>
          <w:rFonts w:cs="Arial"/>
        </w:rPr>
        <w:t>.</w:t>
      </w:r>
      <w:r w:rsidRPr="00B75753">
        <w:rPr>
          <w:rFonts w:cs="Arial"/>
        </w:rPr>
        <w:t xml:space="preserve"> </w:t>
      </w:r>
      <w:r>
        <w:rPr>
          <w:rFonts w:cs="Arial"/>
        </w:rPr>
        <w:t xml:space="preserve">This includes </w:t>
      </w:r>
      <w:r w:rsidRPr="007C3632">
        <w:rPr>
          <w:rFonts w:cs="Arial"/>
        </w:rPr>
        <w:t xml:space="preserve">setting the higher level objectives and risk tolerances of the </w:t>
      </w:r>
      <w:r>
        <w:rPr>
          <w:rFonts w:cs="Arial"/>
        </w:rPr>
        <w:t>Fund</w:t>
      </w:r>
      <w:r w:rsidRPr="007C3632">
        <w:rPr>
          <w:rFonts w:cs="Arial"/>
        </w:rPr>
        <w:t xml:space="preserve">. </w:t>
      </w:r>
      <w:r w:rsidRPr="00B75753">
        <w:rPr>
          <w:rFonts w:cs="Arial"/>
        </w:rPr>
        <w:t>The Committee, in conjunction with the scheme’s actuary, sets the required rate of return needed to achieve its objectives and the risks it is willing to take. Once these parameters are established, the Committee will determine the strategic asset allocation or policy portfolio that it believes has the highest probability of succeeding.</w:t>
      </w:r>
    </w:p>
    <w:p w14:paraId="00129389" w14:textId="77777777" w:rsidR="001A6106" w:rsidRDefault="00540554" w:rsidP="001A6106">
      <w:pPr>
        <w:jc w:val="both"/>
        <w:rPr>
          <w:rFonts w:cs="Arial"/>
        </w:rPr>
      </w:pPr>
    </w:p>
    <w:p w14:paraId="63B2AD42" w14:textId="77777777" w:rsidR="00B23A81" w:rsidRDefault="00540554" w:rsidP="001A6106">
      <w:pPr>
        <w:jc w:val="both"/>
        <w:rPr>
          <w:rFonts w:cs="Arial"/>
        </w:rPr>
      </w:pPr>
    </w:p>
    <w:p w14:paraId="58ADA98C" w14:textId="77777777" w:rsidR="000A35BD" w:rsidRDefault="00540554" w:rsidP="001A6106">
      <w:pPr>
        <w:jc w:val="both"/>
        <w:rPr>
          <w:rFonts w:cs="Arial"/>
        </w:rPr>
      </w:pPr>
    </w:p>
    <w:p w14:paraId="194E4EE8" w14:textId="77777777" w:rsidR="00B23A81" w:rsidRDefault="00540554" w:rsidP="001A6106">
      <w:pPr>
        <w:jc w:val="both"/>
        <w:rPr>
          <w:rFonts w:cs="Arial"/>
        </w:rPr>
      </w:pPr>
    </w:p>
    <w:p w14:paraId="6C35D519" w14:textId="77777777" w:rsidR="001A6106" w:rsidRDefault="00244A2A" w:rsidP="001A6106">
      <w:pPr>
        <w:jc w:val="both"/>
        <w:rPr>
          <w:rFonts w:cs="Arial"/>
        </w:rPr>
      </w:pPr>
      <w:r>
        <w:rPr>
          <w:rFonts w:cs="Arial"/>
        </w:rPr>
        <w:t>The Panel will:</w:t>
      </w:r>
    </w:p>
    <w:p w14:paraId="683D1079" w14:textId="77777777" w:rsidR="001A6106" w:rsidRDefault="00540554" w:rsidP="001A6106">
      <w:pPr>
        <w:jc w:val="both"/>
        <w:rPr>
          <w:rFonts w:cs="Arial"/>
        </w:rPr>
      </w:pPr>
    </w:p>
    <w:p w14:paraId="09ADDD7C" w14:textId="77777777" w:rsidR="001A6106" w:rsidRDefault="00244A2A" w:rsidP="001A6106">
      <w:pPr>
        <w:jc w:val="both"/>
        <w:rPr>
          <w:rFonts w:cs="Arial"/>
        </w:rPr>
      </w:pPr>
      <w:r w:rsidRPr="00B75753">
        <w:rPr>
          <w:rFonts w:cs="Arial"/>
        </w:rPr>
        <w:t>•</w:t>
      </w:r>
      <w:r>
        <w:rPr>
          <w:rFonts w:cs="Arial"/>
        </w:rPr>
        <w:t xml:space="preserve"> </w:t>
      </w:r>
      <w:r w:rsidRPr="00B75753">
        <w:rPr>
          <w:rFonts w:cs="Arial"/>
        </w:rPr>
        <w:t xml:space="preserve">review the Fund's long term investment strategy and where necessary make recommendations to the </w:t>
      </w:r>
      <w:r>
        <w:rPr>
          <w:rFonts w:cs="Arial"/>
        </w:rPr>
        <w:t>Committee</w:t>
      </w:r>
      <w:r w:rsidRPr="00B75753">
        <w:rPr>
          <w:rFonts w:cs="Arial"/>
        </w:rPr>
        <w:t>;</w:t>
      </w:r>
    </w:p>
    <w:p w14:paraId="6E168442" w14:textId="77777777" w:rsidR="001A6106" w:rsidRDefault="00244A2A" w:rsidP="001A6106">
      <w:pPr>
        <w:ind w:left="142" w:hanging="142"/>
        <w:jc w:val="both"/>
        <w:rPr>
          <w:rFonts w:cs="Arial"/>
        </w:rPr>
      </w:pPr>
      <w:r w:rsidRPr="00B75753">
        <w:rPr>
          <w:rFonts w:cs="Arial"/>
        </w:rPr>
        <w:t>•</w:t>
      </w:r>
      <w:r>
        <w:rPr>
          <w:rFonts w:cs="Arial"/>
        </w:rPr>
        <w:t xml:space="preserve"> propose </w:t>
      </w:r>
      <w:r w:rsidRPr="00B75753">
        <w:rPr>
          <w:rFonts w:cs="Arial"/>
        </w:rPr>
        <w:t>strategic and/or tactical asset allocations</w:t>
      </w:r>
      <w:r>
        <w:rPr>
          <w:rFonts w:cs="Arial"/>
        </w:rPr>
        <w:t>, with input from LPP I</w:t>
      </w:r>
    </w:p>
    <w:p w14:paraId="70DCCA3D" w14:textId="77777777" w:rsidR="001A6106" w:rsidRDefault="00244A2A" w:rsidP="001A6106">
      <w:pPr>
        <w:ind w:left="142" w:hanging="142"/>
        <w:jc w:val="both"/>
        <w:rPr>
          <w:rFonts w:cs="Arial"/>
        </w:rPr>
      </w:pPr>
      <w:r w:rsidRPr="00B75753">
        <w:rPr>
          <w:rFonts w:cs="Arial"/>
        </w:rPr>
        <w:t>•</w:t>
      </w:r>
      <w:r>
        <w:rPr>
          <w:rFonts w:cs="Arial"/>
        </w:rPr>
        <w:t xml:space="preserve"> set and monitor</w:t>
      </w:r>
      <w:r w:rsidRPr="00B75753">
        <w:rPr>
          <w:rFonts w:cs="Arial"/>
        </w:rPr>
        <w:t xml:space="preserve"> the range of asset allocations used by </w:t>
      </w:r>
      <w:r>
        <w:rPr>
          <w:rFonts w:cs="Arial"/>
        </w:rPr>
        <w:t>LPP I</w:t>
      </w:r>
    </w:p>
    <w:p w14:paraId="61478683" w14:textId="77777777" w:rsidR="001A6106" w:rsidRDefault="00244A2A" w:rsidP="001A6106">
      <w:pPr>
        <w:ind w:left="142" w:hanging="142"/>
        <w:jc w:val="both"/>
        <w:rPr>
          <w:rFonts w:cs="Arial"/>
        </w:rPr>
      </w:pPr>
      <w:r w:rsidRPr="00B75753">
        <w:rPr>
          <w:rFonts w:cs="Arial"/>
        </w:rPr>
        <w:t>•</w:t>
      </w:r>
      <w:r>
        <w:rPr>
          <w:rFonts w:cs="Arial"/>
        </w:rPr>
        <w:t xml:space="preserve"> </w:t>
      </w:r>
      <w:r w:rsidRPr="00B75753">
        <w:rPr>
          <w:rFonts w:cs="Arial"/>
        </w:rPr>
        <w:t>consider appropriate risk management strategies to include the matching of pension liabilities with suitable investments, possibly involving derivatives, and where necessary make recommendations to the Committee;</w:t>
      </w:r>
    </w:p>
    <w:p w14:paraId="10002F47" w14:textId="77777777" w:rsidR="001A6106" w:rsidRDefault="00244A2A" w:rsidP="001A6106">
      <w:pPr>
        <w:ind w:left="142" w:hanging="142"/>
        <w:jc w:val="both"/>
        <w:rPr>
          <w:rFonts w:cs="Arial"/>
        </w:rPr>
      </w:pPr>
      <w:r w:rsidRPr="00B75753">
        <w:rPr>
          <w:rFonts w:cs="Arial"/>
        </w:rPr>
        <w:t>•</w:t>
      </w:r>
      <w:r>
        <w:rPr>
          <w:rFonts w:cs="Arial"/>
        </w:rPr>
        <w:t xml:space="preserve"> </w:t>
      </w:r>
      <w:r w:rsidRPr="00B75753">
        <w:rPr>
          <w:rFonts w:cs="Arial"/>
        </w:rPr>
        <w:t xml:space="preserve">consider foreign exchange hedging strategies relating to the equity and/or other asset allocations and where necessary make recommendations to the </w:t>
      </w:r>
      <w:r>
        <w:rPr>
          <w:rFonts w:cs="Arial"/>
        </w:rPr>
        <w:t>C</w:t>
      </w:r>
      <w:r w:rsidRPr="00B75753">
        <w:rPr>
          <w:rFonts w:cs="Arial"/>
        </w:rPr>
        <w:t>ommittee;</w:t>
      </w:r>
    </w:p>
    <w:p w14:paraId="7222688B" w14:textId="77777777" w:rsidR="001A6106" w:rsidRDefault="00244A2A" w:rsidP="001A6106">
      <w:pPr>
        <w:ind w:left="142" w:hanging="142"/>
        <w:jc w:val="both"/>
        <w:rPr>
          <w:rFonts w:cs="Arial"/>
        </w:rPr>
      </w:pPr>
      <w:r w:rsidRPr="00B75753">
        <w:rPr>
          <w:rFonts w:cs="Arial"/>
        </w:rPr>
        <w:t>•</w:t>
      </w:r>
      <w:r>
        <w:rPr>
          <w:rFonts w:cs="Arial"/>
        </w:rPr>
        <w:t xml:space="preserve"> </w:t>
      </w:r>
      <w:r w:rsidRPr="00B75753">
        <w:rPr>
          <w:rFonts w:cs="Arial"/>
        </w:rPr>
        <w:t>monitor and review the investment activity; and</w:t>
      </w:r>
    </w:p>
    <w:p w14:paraId="2D118DB7" w14:textId="77777777" w:rsidR="001A6106" w:rsidRDefault="00244A2A" w:rsidP="001A6106">
      <w:pPr>
        <w:ind w:left="142" w:hanging="142"/>
        <w:jc w:val="both"/>
        <w:rPr>
          <w:rFonts w:cs="Arial"/>
        </w:rPr>
      </w:pPr>
      <w:r w:rsidRPr="00B75753">
        <w:rPr>
          <w:rFonts w:cs="Arial"/>
        </w:rPr>
        <w:t>•</w:t>
      </w:r>
      <w:r>
        <w:rPr>
          <w:rFonts w:cs="Arial"/>
        </w:rPr>
        <w:t xml:space="preserve"> r</w:t>
      </w:r>
      <w:r w:rsidRPr="00B75753">
        <w:rPr>
          <w:rFonts w:cs="Arial"/>
        </w:rPr>
        <w:t>eview and report on the performance of the Fund and where necessary make recommendations to the Committee.</w:t>
      </w:r>
    </w:p>
    <w:p w14:paraId="15766AA4" w14:textId="77777777" w:rsidR="001A6106" w:rsidRDefault="00540554" w:rsidP="001A6106">
      <w:pPr>
        <w:jc w:val="both"/>
        <w:rPr>
          <w:rFonts w:cs="Arial"/>
        </w:rPr>
      </w:pPr>
    </w:p>
    <w:p w14:paraId="7AE5E227" w14:textId="77777777" w:rsidR="001A6106" w:rsidRPr="007C3632" w:rsidRDefault="00244A2A" w:rsidP="001A6106">
      <w:pPr>
        <w:jc w:val="both"/>
        <w:rPr>
          <w:rFonts w:cs="Arial"/>
        </w:rPr>
      </w:pPr>
      <w:r w:rsidRPr="007C3632">
        <w:rPr>
          <w:rFonts w:cs="Arial"/>
        </w:rPr>
        <w:t xml:space="preserve">The implementation of the asset allocation is delegated to </w:t>
      </w:r>
      <w:r>
        <w:rPr>
          <w:rFonts w:cs="Arial"/>
        </w:rPr>
        <w:t>LPP I</w:t>
      </w:r>
      <w:r w:rsidRPr="007C3632">
        <w:rPr>
          <w:rFonts w:cs="Arial"/>
        </w:rPr>
        <w:t xml:space="preserve">. LCC is a founding shareholder of </w:t>
      </w:r>
      <w:r>
        <w:rPr>
          <w:rFonts w:cs="Arial"/>
        </w:rPr>
        <w:t>LPP I</w:t>
      </w:r>
      <w:r w:rsidRPr="007C3632">
        <w:rPr>
          <w:rFonts w:cs="Arial"/>
        </w:rPr>
        <w:t xml:space="preserve"> and maintains ongoing corporate governance controls but plays no direct role in </w:t>
      </w:r>
      <w:r>
        <w:rPr>
          <w:rFonts w:cs="Arial"/>
        </w:rPr>
        <w:t>i</w:t>
      </w:r>
      <w:r w:rsidRPr="007C3632">
        <w:rPr>
          <w:rFonts w:cs="Arial"/>
        </w:rPr>
        <w:t xml:space="preserve">nvestment </w:t>
      </w:r>
      <w:r>
        <w:rPr>
          <w:rFonts w:cs="Arial"/>
        </w:rPr>
        <w:t>m</w:t>
      </w:r>
      <w:r w:rsidRPr="007C3632">
        <w:rPr>
          <w:rFonts w:cs="Arial"/>
        </w:rPr>
        <w:t xml:space="preserve">anagement activities. </w:t>
      </w:r>
    </w:p>
    <w:p w14:paraId="6021E46F" w14:textId="77777777" w:rsidR="001A6106" w:rsidRPr="007C3632" w:rsidRDefault="00540554" w:rsidP="001A6106">
      <w:pPr>
        <w:jc w:val="both"/>
        <w:rPr>
          <w:rFonts w:cs="Arial"/>
          <w:b/>
        </w:rPr>
      </w:pPr>
    </w:p>
    <w:p w14:paraId="0F455051" w14:textId="61598A6C" w:rsidR="001A6106" w:rsidRDefault="00244A2A" w:rsidP="001A6106">
      <w:pPr>
        <w:jc w:val="both"/>
        <w:rPr>
          <w:rFonts w:cs="Arial"/>
        </w:rPr>
      </w:pPr>
      <w:r>
        <w:rPr>
          <w:rFonts w:cs="Arial"/>
        </w:rPr>
        <w:t>LPP I</w:t>
      </w:r>
      <w:r w:rsidRPr="007C3632">
        <w:rPr>
          <w:rFonts w:cs="Arial"/>
        </w:rPr>
        <w:t xml:space="preserve"> </w:t>
      </w:r>
      <w:r>
        <w:rPr>
          <w:rFonts w:cs="Arial"/>
        </w:rPr>
        <w:t xml:space="preserve">is </w:t>
      </w:r>
      <w:r w:rsidRPr="007C3632">
        <w:rPr>
          <w:rFonts w:cs="Arial"/>
        </w:rPr>
        <w:t xml:space="preserve"> responsible for managing 100% of the assets of the Fund.  The large majority of the Fund’s assets </w:t>
      </w:r>
      <w:r>
        <w:rPr>
          <w:rFonts w:cs="Arial"/>
        </w:rPr>
        <w:t>have been</w:t>
      </w:r>
      <w:r w:rsidRPr="007C3632">
        <w:rPr>
          <w:rFonts w:cs="Arial"/>
        </w:rPr>
        <w:t xml:space="preserve"> transitioned into investment pooling vehicles, also managed by </w:t>
      </w:r>
      <w:r>
        <w:rPr>
          <w:rFonts w:cs="Arial"/>
        </w:rPr>
        <w:t xml:space="preserve">LPP I, as illustrated in the table below.  </w:t>
      </w:r>
      <w:r w:rsidRPr="007C3632">
        <w:rPr>
          <w:rFonts w:cs="Arial"/>
        </w:rPr>
        <w:t xml:space="preserve"> A small minority of assets remain on the balance sheet of the Fund as “legacy assets”. </w:t>
      </w:r>
    </w:p>
    <w:p w14:paraId="7126ECAB" w14:textId="77777777" w:rsidR="001A6106" w:rsidRDefault="00540554" w:rsidP="001A6106">
      <w:pPr>
        <w:jc w:val="both"/>
        <w:rPr>
          <w:rFonts w:cs="Arial"/>
        </w:rPr>
      </w:pPr>
    </w:p>
    <w:tbl>
      <w:tblPr>
        <w:tblStyle w:val="TableGrid"/>
        <w:tblW w:w="0" w:type="auto"/>
        <w:tblLook w:val="04A0" w:firstRow="1" w:lastRow="0" w:firstColumn="1" w:lastColumn="0" w:noHBand="0" w:noVBand="1"/>
      </w:tblPr>
      <w:tblGrid>
        <w:gridCol w:w="2972"/>
        <w:gridCol w:w="3119"/>
      </w:tblGrid>
      <w:tr w:rsidR="00FF1560" w14:paraId="12B035AC" w14:textId="77777777" w:rsidTr="00C376CB">
        <w:tc>
          <w:tcPr>
            <w:tcW w:w="2972" w:type="dxa"/>
          </w:tcPr>
          <w:p w14:paraId="7D5253A1" w14:textId="77777777" w:rsidR="001A6106" w:rsidRPr="00244A2A" w:rsidRDefault="00244A2A" w:rsidP="00F42BDB">
            <w:pPr>
              <w:jc w:val="both"/>
              <w:rPr>
                <w:rFonts w:cs="Arial"/>
                <w:b/>
              </w:rPr>
            </w:pPr>
            <w:r w:rsidRPr="00244A2A">
              <w:rPr>
                <w:rFonts w:cs="Arial"/>
                <w:b/>
              </w:rPr>
              <w:t>Asset class</w:t>
            </w:r>
          </w:p>
        </w:tc>
        <w:tc>
          <w:tcPr>
            <w:tcW w:w="3119" w:type="dxa"/>
          </w:tcPr>
          <w:p w14:paraId="5A5F3CE6" w14:textId="77777777" w:rsidR="001A6106" w:rsidRPr="00244A2A" w:rsidRDefault="00244A2A" w:rsidP="00F42BDB">
            <w:pPr>
              <w:jc w:val="both"/>
              <w:rPr>
                <w:rFonts w:cs="Arial"/>
                <w:b/>
              </w:rPr>
            </w:pPr>
            <w:r w:rsidRPr="00244A2A">
              <w:rPr>
                <w:rFonts w:cs="Arial"/>
                <w:b/>
              </w:rPr>
              <w:t>Percentage of total assets in pools</w:t>
            </w:r>
          </w:p>
        </w:tc>
      </w:tr>
      <w:tr w:rsidR="00FF1560" w14:paraId="6D693844" w14:textId="77777777" w:rsidTr="00C376CB">
        <w:tc>
          <w:tcPr>
            <w:tcW w:w="2972" w:type="dxa"/>
          </w:tcPr>
          <w:p w14:paraId="0D07D377" w14:textId="77777777" w:rsidR="001A6106" w:rsidRPr="00244A2A" w:rsidRDefault="00244A2A" w:rsidP="00F42BDB">
            <w:pPr>
              <w:jc w:val="both"/>
              <w:rPr>
                <w:rFonts w:cs="Arial"/>
              </w:rPr>
            </w:pPr>
            <w:r w:rsidRPr="00244A2A">
              <w:rPr>
                <w:rFonts w:cs="Arial"/>
              </w:rPr>
              <w:t>Public Equity</w:t>
            </w:r>
          </w:p>
        </w:tc>
        <w:tc>
          <w:tcPr>
            <w:tcW w:w="3119" w:type="dxa"/>
          </w:tcPr>
          <w:p w14:paraId="004836C1" w14:textId="77777777" w:rsidR="001A6106" w:rsidRPr="00244A2A" w:rsidRDefault="00244A2A" w:rsidP="00244A2A">
            <w:pPr>
              <w:jc w:val="center"/>
              <w:rPr>
                <w:rFonts w:cs="Arial"/>
              </w:rPr>
            </w:pPr>
            <w:r w:rsidRPr="00244A2A">
              <w:rPr>
                <w:rFonts w:cs="Arial"/>
              </w:rPr>
              <w:t>100%</w:t>
            </w:r>
          </w:p>
        </w:tc>
      </w:tr>
      <w:tr w:rsidR="00FF1560" w14:paraId="20CEF045" w14:textId="77777777" w:rsidTr="00C376CB">
        <w:tc>
          <w:tcPr>
            <w:tcW w:w="2972" w:type="dxa"/>
          </w:tcPr>
          <w:p w14:paraId="78A084B5" w14:textId="77777777" w:rsidR="001A6106" w:rsidRPr="00244A2A" w:rsidRDefault="00244A2A" w:rsidP="00F42BDB">
            <w:pPr>
              <w:jc w:val="both"/>
              <w:rPr>
                <w:rFonts w:cs="Arial"/>
              </w:rPr>
            </w:pPr>
            <w:r w:rsidRPr="00244A2A">
              <w:rPr>
                <w:rFonts w:cs="Arial"/>
              </w:rPr>
              <w:t>Fixed Income</w:t>
            </w:r>
          </w:p>
        </w:tc>
        <w:tc>
          <w:tcPr>
            <w:tcW w:w="3119" w:type="dxa"/>
          </w:tcPr>
          <w:p w14:paraId="411013A8" w14:textId="77777777" w:rsidR="001A6106" w:rsidRPr="00244A2A" w:rsidRDefault="00244A2A" w:rsidP="00244A2A">
            <w:pPr>
              <w:jc w:val="center"/>
              <w:rPr>
                <w:rFonts w:cs="Arial"/>
              </w:rPr>
            </w:pPr>
            <w:r w:rsidRPr="00244A2A">
              <w:rPr>
                <w:rFonts w:cs="Arial"/>
              </w:rPr>
              <w:t>100%</w:t>
            </w:r>
          </w:p>
        </w:tc>
      </w:tr>
      <w:tr w:rsidR="00FF1560" w14:paraId="10651F73" w14:textId="77777777" w:rsidTr="00C376CB">
        <w:tc>
          <w:tcPr>
            <w:tcW w:w="2972" w:type="dxa"/>
          </w:tcPr>
          <w:p w14:paraId="3DE4518C" w14:textId="77777777" w:rsidR="001A6106" w:rsidRPr="00244A2A" w:rsidRDefault="00244A2A" w:rsidP="00F42BDB">
            <w:pPr>
              <w:jc w:val="both"/>
              <w:rPr>
                <w:rFonts w:cs="Arial"/>
              </w:rPr>
            </w:pPr>
            <w:r w:rsidRPr="00244A2A">
              <w:rPr>
                <w:rFonts w:cs="Arial"/>
              </w:rPr>
              <w:t>Diversifying Strategies</w:t>
            </w:r>
          </w:p>
        </w:tc>
        <w:tc>
          <w:tcPr>
            <w:tcW w:w="3119" w:type="dxa"/>
          </w:tcPr>
          <w:p w14:paraId="7B193076" w14:textId="77777777" w:rsidR="001A6106" w:rsidRPr="00244A2A" w:rsidRDefault="00244A2A" w:rsidP="00244A2A">
            <w:pPr>
              <w:jc w:val="center"/>
              <w:rPr>
                <w:rFonts w:cs="Arial"/>
              </w:rPr>
            </w:pPr>
            <w:r w:rsidRPr="00244A2A">
              <w:rPr>
                <w:rFonts w:cs="Arial"/>
              </w:rPr>
              <w:t>100%</w:t>
            </w:r>
          </w:p>
        </w:tc>
      </w:tr>
      <w:tr w:rsidR="00FF1560" w14:paraId="2CC077F8" w14:textId="77777777" w:rsidTr="00C376CB">
        <w:tc>
          <w:tcPr>
            <w:tcW w:w="2972" w:type="dxa"/>
          </w:tcPr>
          <w:p w14:paraId="12742691" w14:textId="77777777" w:rsidR="001A6106" w:rsidRPr="00244A2A" w:rsidRDefault="00244A2A" w:rsidP="00F42BDB">
            <w:pPr>
              <w:jc w:val="both"/>
              <w:rPr>
                <w:rFonts w:cs="Arial"/>
              </w:rPr>
            </w:pPr>
            <w:r w:rsidRPr="00244A2A">
              <w:rPr>
                <w:rFonts w:cs="Arial"/>
              </w:rPr>
              <w:t>Credit</w:t>
            </w:r>
          </w:p>
        </w:tc>
        <w:tc>
          <w:tcPr>
            <w:tcW w:w="3119" w:type="dxa"/>
          </w:tcPr>
          <w:p w14:paraId="0CF84D77" w14:textId="77777777" w:rsidR="001A6106" w:rsidRPr="00244A2A" w:rsidRDefault="00244A2A" w:rsidP="00244A2A">
            <w:pPr>
              <w:jc w:val="center"/>
              <w:rPr>
                <w:rFonts w:cs="Arial"/>
              </w:rPr>
            </w:pPr>
            <w:r w:rsidRPr="00244A2A">
              <w:rPr>
                <w:rFonts w:cs="Arial"/>
              </w:rPr>
              <w:t>91%</w:t>
            </w:r>
          </w:p>
        </w:tc>
      </w:tr>
      <w:tr w:rsidR="00FF1560" w14:paraId="52B371DA" w14:textId="77777777" w:rsidTr="00C376CB">
        <w:tc>
          <w:tcPr>
            <w:tcW w:w="2972" w:type="dxa"/>
          </w:tcPr>
          <w:p w14:paraId="6EC71F3C" w14:textId="77777777" w:rsidR="001A6106" w:rsidRPr="00244A2A" w:rsidRDefault="00244A2A" w:rsidP="00F42BDB">
            <w:pPr>
              <w:jc w:val="both"/>
              <w:rPr>
                <w:rFonts w:cs="Arial"/>
              </w:rPr>
            </w:pPr>
            <w:r w:rsidRPr="00244A2A">
              <w:rPr>
                <w:rFonts w:cs="Arial"/>
              </w:rPr>
              <w:t>Infrastructure</w:t>
            </w:r>
          </w:p>
        </w:tc>
        <w:tc>
          <w:tcPr>
            <w:tcW w:w="3119" w:type="dxa"/>
          </w:tcPr>
          <w:p w14:paraId="68063F33" w14:textId="77777777" w:rsidR="001A6106" w:rsidRPr="00244A2A" w:rsidRDefault="00244A2A" w:rsidP="00244A2A">
            <w:pPr>
              <w:jc w:val="center"/>
              <w:rPr>
                <w:rFonts w:cs="Arial"/>
              </w:rPr>
            </w:pPr>
            <w:r w:rsidRPr="00244A2A">
              <w:rPr>
                <w:rFonts w:cs="Arial"/>
              </w:rPr>
              <w:t>84%</w:t>
            </w:r>
          </w:p>
        </w:tc>
      </w:tr>
      <w:tr w:rsidR="00FF1560" w14:paraId="15CE7F0C" w14:textId="77777777" w:rsidTr="00C376CB">
        <w:tc>
          <w:tcPr>
            <w:tcW w:w="2972" w:type="dxa"/>
          </w:tcPr>
          <w:p w14:paraId="4923885E" w14:textId="77777777" w:rsidR="001A6106" w:rsidRPr="00244A2A" w:rsidRDefault="00244A2A" w:rsidP="00F42BDB">
            <w:pPr>
              <w:jc w:val="both"/>
              <w:rPr>
                <w:rFonts w:cs="Arial"/>
              </w:rPr>
            </w:pPr>
            <w:r w:rsidRPr="00244A2A">
              <w:rPr>
                <w:rFonts w:cs="Arial"/>
              </w:rPr>
              <w:t>Private Equity</w:t>
            </w:r>
          </w:p>
        </w:tc>
        <w:tc>
          <w:tcPr>
            <w:tcW w:w="3119" w:type="dxa"/>
          </w:tcPr>
          <w:p w14:paraId="7333659F" w14:textId="77777777" w:rsidR="001A6106" w:rsidRPr="00244A2A" w:rsidRDefault="00244A2A" w:rsidP="00244A2A">
            <w:pPr>
              <w:jc w:val="center"/>
              <w:rPr>
                <w:rFonts w:cs="Arial"/>
              </w:rPr>
            </w:pPr>
            <w:r w:rsidRPr="00244A2A">
              <w:rPr>
                <w:rFonts w:cs="Arial"/>
              </w:rPr>
              <w:t>98%</w:t>
            </w:r>
          </w:p>
        </w:tc>
      </w:tr>
      <w:tr w:rsidR="00FF1560" w14:paraId="421F0C68" w14:textId="77777777" w:rsidTr="00C376CB">
        <w:tc>
          <w:tcPr>
            <w:tcW w:w="2972" w:type="dxa"/>
          </w:tcPr>
          <w:p w14:paraId="2DECB39F" w14:textId="77777777" w:rsidR="001A6106" w:rsidRPr="00244A2A" w:rsidRDefault="00244A2A" w:rsidP="00F42BDB">
            <w:pPr>
              <w:jc w:val="both"/>
              <w:rPr>
                <w:rFonts w:cs="Arial"/>
              </w:rPr>
            </w:pPr>
            <w:r w:rsidRPr="00244A2A">
              <w:rPr>
                <w:rFonts w:cs="Arial"/>
              </w:rPr>
              <w:t>Real Estate</w:t>
            </w:r>
          </w:p>
        </w:tc>
        <w:tc>
          <w:tcPr>
            <w:tcW w:w="3119" w:type="dxa"/>
          </w:tcPr>
          <w:p w14:paraId="6CB3A071" w14:textId="671ADD08" w:rsidR="001A6106" w:rsidRPr="00244A2A" w:rsidRDefault="00244A2A" w:rsidP="00244A2A">
            <w:pPr>
              <w:jc w:val="center"/>
              <w:rPr>
                <w:rFonts w:cs="Arial"/>
              </w:rPr>
            </w:pPr>
            <w:r w:rsidRPr="00244A2A">
              <w:rPr>
                <w:rFonts w:cs="Arial"/>
              </w:rPr>
              <w:t xml:space="preserve">64% </w:t>
            </w:r>
          </w:p>
        </w:tc>
      </w:tr>
      <w:tr w:rsidR="00FF1560" w14:paraId="7438D20D" w14:textId="77777777" w:rsidTr="00C376CB">
        <w:tc>
          <w:tcPr>
            <w:tcW w:w="2972" w:type="dxa"/>
          </w:tcPr>
          <w:p w14:paraId="3C2BC746" w14:textId="77777777" w:rsidR="001A6106" w:rsidRPr="00244A2A" w:rsidRDefault="00244A2A" w:rsidP="00F42BDB">
            <w:pPr>
              <w:jc w:val="both"/>
              <w:rPr>
                <w:rFonts w:cs="Arial"/>
                <w:b/>
              </w:rPr>
            </w:pPr>
            <w:r w:rsidRPr="00244A2A">
              <w:rPr>
                <w:rFonts w:cs="Arial"/>
                <w:b/>
              </w:rPr>
              <w:t>Total</w:t>
            </w:r>
          </w:p>
        </w:tc>
        <w:tc>
          <w:tcPr>
            <w:tcW w:w="3119" w:type="dxa"/>
          </w:tcPr>
          <w:p w14:paraId="7688ABEE" w14:textId="77777777" w:rsidR="001A6106" w:rsidRPr="00244A2A" w:rsidRDefault="00244A2A" w:rsidP="00244A2A">
            <w:pPr>
              <w:jc w:val="center"/>
              <w:rPr>
                <w:rFonts w:cs="Arial"/>
                <w:b/>
              </w:rPr>
            </w:pPr>
            <w:r w:rsidRPr="00244A2A">
              <w:rPr>
                <w:rFonts w:cs="Arial"/>
                <w:b/>
              </w:rPr>
              <w:t>90%</w:t>
            </w:r>
          </w:p>
        </w:tc>
      </w:tr>
    </w:tbl>
    <w:p w14:paraId="42DF4205" w14:textId="43203CE8" w:rsidR="001A6106" w:rsidRDefault="00540554" w:rsidP="001A6106">
      <w:pPr>
        <w:jc w:val="both"/>
        <w:rPr>
          <w:rFonts w:cs="Arial"/>
          <w:i/>
          <w:sz w:val="20"/>
        </w:rPr>
      </w:pPr>
    </w:p>
    <w:p w14:paraId="09F4990E" w14:textId="77777777" w:rsidR="00B23A81" w:rsidRPr="009D4851" w:rsidRDefault="00540554" w:rsidP="001A6106">
      <w:pPr>
        <w:jc w:val="both"/>
        <w:rPr>
          <w:rFonts w:cs="Arial"/>
          <w:b/>
          <w:i/>
        </w:rPr>
      </w:pPr>
    </w:p>
    <w:p w14:paraId="07A05C65" w14:textId="77777777" w:rsidR="001A6106" w:rsidRDefault="00244A2A" w:rsidP="001A6106">
      <w:pPr>
        <w:jc w:val="both"/>
        <w:rPr>
          <w:rFonts w:cs="Arial"/>
          <w:b/>
        </w:rPr>
      </w:pPr>
      <w:r>
        <w:rPr>
          <w:rFonts w:cs="Arial"/>
          <w:b/>
        </w:rPr>
        <w:t xml:space="preserve">4. </w:t>
      </w:r>
      <w:r w:rsidRPr="007C3632">
        <w:rPr>
          <w:rFonts w:cs="Arial"/>
          <w:b/>
        </w:rPr>
        <w:t>Asset Allocation Framework</w:t>
      </w:r>
    </w:p>
    <w:p w14:paraId="2E054BE9" w14:textId="77777777" w:rsidR="001A6106" w:rsidRDefault="00540554" w:rsidP="001A6106">
      <w:pPr>
        <w:jc w:val="both"/>
        <w:rPr>
          <w:rFonts w:cs="Arial"/>
          <w:b/>
        </w:rPr>
      </w:pPr>
    </w:p>
    <w:p w14:paraId="1C3DEC7C" w14:textId="77777777" w:rsidR="001A6106" w:rsidRPr="007C3632" w:rsidRDefault="00244A2A" w:rsidP="001A6106">
      <w:pPr>
        <w:jc w:val="both"/>
        <w:rPr>
          <w:rFonts w:cs="Arial"/>
        </w:rPr>
      </w:pPr>
      <w:r w:rsidRPr="007C3632">
        <w:rPr>
          <w:rFonts w:cs="Arial"/>
        </w:rPr>
        <w:t>To pay benefits over time the Fund needs to generate a rate of return that is at least equal to the actuarial discount rate. The starting point for considering asset allocation is a simple portfolio of bonds and equities. However, this basic portfolio does not maximise diversification and therefore risk adjusted return.</w:t>
      </w:r>
    </w:p>
    <w:p w14:paraId="0EA6056D" w14:textId="77777777" w:rsidR="001A6106" w:rsidRPr="007C3632" w:rsidRDefault="00540554" w:rsidP="001A6106">
      <w:pPr>
        <w:jc w:val="both"/>
        <w:rPr>
          <w:rFonts w:cs="Arial"/>
        </w:rPr>
      </w:pPr>
    </w:p>
    <w:p w14:paraId="122AD8CE" w14:textId="5186D7C5" w:rsidR="001A6106" w:rsidRDefault="00244A2A" w:rsidP="001A6106">
      <w:pPr>
        <w:jc w:val="both"/>
        <w:rPr>
          <w:rFonts w:cs="Arial"/>
        </w:rPr>
      </w:pPr>
      <w:r w:rsidRPr="007C3632">
        <w:rPr>
          <w:rFonts w:cs="Arial"/>
        </w:rPr>
        <w:t>In order to prudently diversify sources of risk and return, the Fund allocates capital across a wide variety of different asset classes. To be added to the portfolio, asset classes are first judged for suitability; they have to be</w:t>
      </w:r>
      <w:r>
        <w:rPr>
          <w:rFonts w:cs="Arial"/>
        </w:rPr>
        <w:t xml:space="preserve"> well understood by the Committee</w:t>
      </w:r>
      <w:r w:rsidRPr="007C3632">
        <w:rPr>
          <w:rFonts w:cs="Arial"/>
        </w:rPr>
        <w:t xml:space="preserve">, consistent with the Fund’s risk and return objectives; and they have to make a significant contribution to the portfolio by improving overall return and risk characteristics. In addition, the new asset classes have to be less than perfectly correlated with equities and bonds, so that the </w:t>
      </w:r>
      <w:r>
        <w:rPr>
          <w:rFonts w:cs="Arial"/>
        </w:rPr>
        <w:t>Fund</w:t>
      </w:r>
      <w:r w:rsidRPr="007C3632">
        <w:rPr>
          <w:rFonts w:cs="Arial"/>
        </w:rPr>
        <w:t xml:space="preserve"> benefits from increased diversification</w:t>
      </w:r>
      <w:r>
        <w:rPr>
          <w:rFonts w:cs="Arial"/>
        </w:rPr>
        <w:t>. The Fund</w:t>
      </w:r>
      <w:r w:rsidRPr="007C3632">
        <w:rPr>
          <w:rFonts w:cs="Arial"/>
        </w:rPr>
        <w:t xml:space="preserve"> has identified a total of </w:t>
      </w:r>
      <w:r>
        <w:rPr>
          <w:rFonts w:cs="Arial"/>
        </w:rPr>
        <w:t>eight</w:t>
      </w:r>
      <w:r w:rsidRPr="007C3632">
        <w:rPr>
          <w:rFonts w:cs="Arial"/>
        </w:rPr>
        <w:t xml:space="preserve"> asset classes that, combined</w:t>
      </w:r>
      <w:r>
        <w:rPr>
          <w:rFonts w:cs="Arial"/>
        </w:rPr>
        <w:t>,</w:t>
      </w:r>
      <w:r w:rsidRPr="007C3632">
        <w:rPr>
          <w:rFonts w:cs="Arial"/>
        </w:rPr>
        <w:t xml:space="preserve"> </w:t>
      </w:r>
      <w:r>
        <w:rPr>
          <w:rFonts w:cs="Arial"/>
        </w:rPr>
        <w:t xml:space="preserve">may </w:t>
      </w:r>
      <w:r w:rsidRPr="007C3632">
        <w:rPr>
          <w:rFonts w:cs="Arial"/>
        </w:rPr>
        <w:t>form the policy portfolio.</w:t>
      </w:r>
    </w:p>
    <w:p w14:paraId="10CBFEC7" w14:textId="77777777" w:rsidR="001A6106" w:rsidRPr="007C3632" w:rsidRDefault="00540554" w:rsidP="001A6106">
      <w:pPr>
        <w:jc w:val="both"/>
        <w:rPr>
          <w:rFonts w:cs="Arial"/>
        </w:rPr>
      </w:pPr>
    </w:p>
    <w:p w14:paraId="7CF9C4A6" w14:textId="3C545808" w:rsidR="001A6106" w:rsidRDefault="00244A2A" w:rsidP="001A6106">
      <w:pPr>
        <w:jc w:val="both"/>
        <w:rPr>
          <w:rFonts w:cs="Arial"/>
        </w:rPr>
      </w:pPr>
      <w:r w:rsidRPr="007C3632">
        <w:rPr>
          <w:rFonts w:cs="Arial"/>
        </w:rPr>
        <w:t xml:space="preserve">The </w:t>
      </w:r>
      <w:r>
        <w:rPr>
          <w:rFonts w:cs="Arial"/>
        </w:rPr>
        <w:t>eight</w:t>
      </w:r>
      <w:r w:rsidRPr="007C3632">
        <w:rPr>
          <w:rFonts w:cs="Arial"/>
        </w:rPr>
        <w:t xml:space="preserve"> asset classes shown </w:t>
      </w:r>
      <w:r>
        <w:rPr>
          <w:rFonts w:cs="Arial"/>
        </w:rPr>
        <w:t xml:space="preserve">in the table </w:t>
      </w:r>
      <w:r w:rsidRPr="007C3632">
        <w:rPr>
          <w:rFonts w:cs="Arial"/>
        </w:rPr>
        <w:t xml:space="preserve">below have different exposures to economic factors (GDP growth and inflation) and combine different geographies and currencies. In assessing </w:t>
      </w:r>
      <w:r w:rsidRPr="005B68E3">
        <w:rPr>
          <w:rFonts w:cs="Arial"/>
        </w:rPr>
        <w:t xml:space="preserve">suitability the </w:t>
      </w:r>
      <w:r>
        <w:rPr>
          <w:rFonts w:cs="Arial"/>
        </w:rPr>
        <w:t xml:space="preserve">Committee </w:t>
      </w:r>
      <w:r w:rsidRPr="007C3632">
        <w:rPr>
          <w:rFonts w:cs="Arial"/>
        </w:rPr>
        <w:t xml:space="preserve">has considered the respective return drivers, exposure to economic growth and sensitivity to inflation – each an important consideration, relative to the sensitivities of the Fund’s liabilities and managing risk. </w:t>
      </w:r>
    </w:p>
    <w:p w14:paraId="14FA0287" w14:textId="77777777" w:rsidR="001A6106" w:rsidRDefault="00540554" w:rsidP="001A6106">
      <w:pPr>
        <w:jc w:val="both"/>
        <w:rPr>
          <w:rFonts w:cs="Arial"/>
        </w:rPr>
      </w:pPr>
    </w:p>
    <w:p w14:paraId="563FB003" w14:textId="77777777" w:rsidR="00B23A81" w:rsidRDefault="00540554" w:rsidP="001A6106">
      <w:pPr>
        <w:jc w:val="both"/>
        <w:rPr>
          <w:rFonts w:cs="Arial"/>
        </w:rPr>
      </w:pPr>
    </w:p>
    <w:p w14:paraId="64503B0E" w14:textId="77777777" w:rsidR="00B23A81" w:rsidRPr="007C3632" w:rsidRDefault="00540554" w:rsidP="001A6106">
      <w:pPr>
        <w:jc w:val="both"/>
        <w:rPr>
          <w:rFonts w:cs="Arial"/>
        </w:rPr>
      </w:pPr>
    </w:p>
    <w:tbl>
      <w:tblPr>
        <w:tblW w:w="10065" w:type="dxa"/>
        <w:tblInd w:w="-5" w:type="dxa"/>
        <w:tblCellMar>
          <w:left w:w="0" w:type="dxa"/>
          <w:right w:w="0" w:type="dxa"/>
        </w:tblCellMar>
        <w:tblLook w:val="04A0" w:firstRow="1" w:lastRow="0" w:firstColumn="1" w:lastColumn="0" w:noHBand="0" w:noVBand="1"/>
      </w:tblPr>
      <w:tblGrid>
        <w:gridCol w:w="1414"/>
        <w:gridCol w:w="3662"/>
        <w:gridCol w:w="1132"/>
        <w:gridCol w:w="1163"/>
        <w:gridCol w:w="1418"/>
        <w:gridCol w:w="1276"/>
      </w:tblGrid>
      <w:tr w:rsidR="00FF1560" w14:paraId="17CABBDB" w14:textId="77777777" w:rsidTr="00244A2A">
        <w:trPr>
          <w:trHeight w:val="600"/>
        </w:trPr>
        <w:tc>
          <w:tcPr>
            <w:tcW w:w="14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F66B5D" w14:textId="77777777" w:rsidR="001A6106" w:rsidRPr="00DC3AE1" w:rsidRDefault="00244A2A" w:rsidP="00F42BDB">
            <w:pPr>
              <w:jc w:val="center"/>
              <w:rPr>
                <w:rFonts w:cs="Arial"/>
                <w:b/>
                <w:bCs/>
                <w:color w:val="000000"/>
                <w:sz w:val="20"/>
              </w:rPr>
            </w:pPr>
            <w:r w:rsidRPr="00DC3AE1">
              <w:rPr>
                <w:rFonts w:cs="Arial"/>
                <w:b/>
                <w:bCs/>
                <w:color w:val="000000"/>
                <w:sz w:val="20"/>
              </w:rPr>
              <w:t>Asset Class</w:t>
            </w:r>
          </w:p>
        </w:tc>
        <w:tc>
          <w:tcPr>
            <w:tcW w:w="3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81C27A" w14:textId="77777777" w:rsidR="001A6106" w:rsidRPr="00DC3AE1" w:rsidRDefault="00244A2A" w:rsidP="00F42BDB">
            <w:pPr>
              <w:jc w:val="center"/>
              <w:rPr>
                <w:rFonts w:cs="Arial"/>
                <w:b/>
                <w:bCs/>
                <w:color w:val="000000"/>
                <w:sz w:val="20"/>
              </w:rPr>
            </w:pPr>
            <w:r w:rsidRPr="00DC3AE1">
              <w:rPr>
                <w:rFonts w:cs="Arial"/>
                <w:b/>
                <w:bCs/>
                <w:color w:val="000000"/>
                <w:sz w:val="20"/>
              </w:rPr>
              <w:t>Long-Term Return Drivers</w:t>
            </w:r>
          </w:p>
        </w:tc>
        <w:tc>
          <w:tcPr>
            <w:tcW w:w="11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0E872F" w14:textId="77777777" w:rsidR="001A6106" w:rsidRPr="00DC3AE1" w:rsidRDefault="00244A2A" w:rsidP="00F42BDB">
            <w:pPr>
              <w:jc w:val="center"/>
              <w:rPr>
                <w:rFonts w:cs="Arial"/>
                <w:b/>
                <w:bCs/>
                <w:color w:val="000000"/>
                <w:sz w:val="20"/>
              </w:rPr>
            </w:pPr>
            <w:r w:rsidRPr="00DC3AE1">
              <w:rPr>
                <w:rFonts w:cs="Arial"/>
                <w:b/>
                <w:bCs/>
                <w:color w:val="000000"/>
                <w:sz w:val="20"/>
              </w:rPr>
              <w:t>Economic Growth *</w:t>
            </w:r>
          </w:p>
        </w:tc>
        <w:tc>
          <w:tcPr>
            <w:tcW w:w="11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4C6C8" w14:textId="77777777" w:rsidR="001A6106" w:rsidRPr="00DC3AE1" w:rsidRDefault="00244A2A" w:rsidP="00F42BDB">
            <w:pPr>
              <w:jc w:val="center"/>
              <w:rPr>
                <w:rFonts w:cs="Arial"/>
                <w:b/>
                <w:bCs/>
                <w:color w:val="000000"/>
                <w:sz w:val="20"/>
              </w:rPr>
            </w:pPr>
            <w:r w:rsidRPr="00DC3AE1">
              <w:rPr>
                <w:rFonts w:cs="Arial"/>
                <w:b/>
                <w:bCs/>
                <w:color w:val="000000"/>
                <w:sz w:val="20"/>
              </w:rPr>
              <w:t>Inflation *</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A9CAD" w14:textId="77777777" w:rsidR="001A6106" w:rsidRPr="00DC3AE1" w:rsidRDefault="00244A2A" w:rsidP="00F42BDB">
            <w:pPr>
              <w:jc w:val="center"/>
              <w:rPr>
                <w:rFonts w:cs="Arial"/>
                <w:b/>
                <w:bCs/>
                <w:color w:val="000000"/>
                <w:sz w:val="20"/>
              </w:rPr>
            </w:pPr>
            <w:r w:rsidRPr="00DC3AE1">
              <w:rPr>
                <w:rFonts w:cs="Arial"/>
                <w:b/>
                <w:bCs/>
                <w:color w:val="000000"/>
                <w:sz w:val="20"/>
              </w:rPr>
              <w:t>Geography</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C997A0" w14:textId="77777777" w:rsidR="001A6106" w:rsidRPr="00DC3AE1" w:rsidRDefault="00244A2A" w:rsidP="00F42BDB">
            <w:pPr>
              <w:jc w:val="center"/>
              <w:rPr>
                <w:rFonts w:cs="Arial"/>
                <w:b/>
                <w:bCs/>
                <w:color w:val="000000"/>
                <w:sz w:val="20"/>
              </w:rPr>
            </w:pPr>
            <w:r w:rsidRPr="00DC3AE1">
              <w:rPr>
                <w:rFonts w:cs="Arial"/>
                <w:b/>
                <w:bCs/>
                <w:color w:val="000000"/>
                <w:sz w:val="20"/>
              </w:rPr>
              <w:t>Currency</w:t>
            </w:r>
          </w:p>
        </w:tc>
      </w:tr>
      <w:tr w:rsidR="00FF1560" w14:paraId="4E7C47EA" w14:textId="77777777" w:rsidTr="00244A2A">
        <w:trPr>
          <w:trHeight w:val="1134"/>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795753B" w14:textId="77777777" w:rsidR="001A6106" w:rsidRPr="00DC3AE1" w:rsidRDefault="00244A2A" w:rsidP="00F42BDB">
            <w:pPr>
              <w:rPr>
                <w:rFonts w:cs="Arial"/>
                <w:color w:val="000000"/>
                <w:sz w:val="20"/>
              </w:rPr>
            </w:pPr>
            <w:r w:rsidRPr="00DC3AE1">
              <w:rPr>
                <w:rFonts w:cs="Arial"/>
                <w:color w:val="000000"/>
                <w:sz w:val="20"/>
              </w:rPr>
              <w:t>Global Equity</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BF4CE0" w14:textId="77777777" w:rsidR="001A6106" w:rsidRDefault="00244A2A" w:rsidP="00F42BDB">
            <w:pPr>
              <w:rPr>
                <w:rFonts w:cs="Arial"/>
                <w:color w:val="000000"/>
                <w:sz w:val="20"/>
              </w:rPr>
            </w:pPr>
            <w:r>
              <w:rPr>
                <w:rFonts w:cs="Arial"/>
                <w:color w:val="000000"/>
                <w:sz w:val="20"/>
              </w:rPr>
              <w:t>- Economic growth</w:t>
            </w:r>
          </w:p>
          <w:p w14:paraId="14F4EB32" w14:textId="77777777" w:rsidR="001A6106" w:rsidRPr="00DC3AE1" w:rsidRDefault="00244A2A" w:rsidP="00F42BDB">
            <w:pPr>
              <w:rPr>
                <w:rFonts w:cs="Arial"/>
                <w:color w:val="000000"/>
                <w:sz w:val="20"/>
              </w:rPr>
            </w:pPr>
            <w:r w:rsidRPr="00DC3AE1">
              <w:rPr>
                <w:rFonts w:cs="Arial"/>
                <w:color w:val="000000"/>
                <w:sz w:val="20"/>
              </w:rPr>
              <w:t xml:space="preserve">- Dividend </w:t>
            </w:r>
            <w:r>
              <w:rPr>
                <w:rFonts w:cs="Arial"/>
                <w:color w:val="000000"/>
                <w:sz w:val="20"/>
              </w:rPr>
              <w:t>i</w:t>
            </w:r>
            <w:r w:rsidRPr="00DC3AE1">
              <w:rPr>
                <w:rFonts w:cs="Arial"/>
                <w:color w:val="000000"/>
                <w:sz w:val="20"/>
              </w:rPr>
              <w:t>ncome</w:t>
            </w:r>
            <w:r w:rsidRPr="00DC3AE1">
              <w:rPr>
                <w:rFonts w:cs="Arial"/>
                <w:color w:val="000000"/>
                <w:sz w:val="20"/>
              </w:rPr>
              <w:br/>
              <w:t xml:space="preserve">- Earnings </w:t>
            </w:r>
            <w:r>
              <w:rPr>
                <w:rFonts w:cs="Arial"/>
                <w:color w:val="000000"/>
                <w:sz w:val="20"/>
              </w:rPr>
              <w:t>g</w:t>
            </w:r>
            <w:r w:rsidRPr="00DC3AE1">
              <w:rPr>
                <w:rFonts w:cs="Arial"/>
                <w:color w:val="000000"/>
                <w:sz w:val="20"/>
              </w:rPr>
              <w:t>rowth</w:t>
            </w:r>
            <w:r w:rsidRPr="00DC3AE1">
              <w:rPr>
                <w:rFonts w:cs="Arial"/>
                <w:color w:val="000000"/>
                <w:sz w:val="20"/>
              </w:rPr>
              <w:br/>
              <w:t>- Change in company valuation</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EF8B06"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51EF4" w14:textId="77777777" w:rsidR="001A6106" w:rsidRPr="00DC3AE1" w:rsidRDefault="00244A2A" w:rsidP="00F42BDB">
            <w:pPr>
              <w:jc w:val="center"/>
              <w:rPr>
                <w:rFonts w:cs="Arial"/>
                <w:color w:val="000000"/>
                <w:sz w:val="20"/>
              </w:rPr>
            </w:pPr>
            <w:r w:rsidRPr="00DC3AE1">
              <w:rPr>
                <w:rFonts w:cs="Arial"/>
                <w:color w:val="000000"/>
                <w:sz w:val="20"/>
              </w:rPr>
              <w:t>+/ -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712BD7" w14:textId="77777777" w:rsidR="001A6106" w:rsidRPr="00DC3AE1" w:rsidRDefault="00244A2A" w:rsidP="00F42BDB">
            <w:pPr>
              <w:jc w:val="center"/>
              <w:rPr>
                <w:rFonts w:cs="Arial"/>
                <w:color w:val="000000"/>
                <w:sz w:val="20"/>
              </w:rPr>
            </w:pPr>
            <w:r w:rsidRPr="00DC3AE1">
              <w:rPr>
                <w:rFonts w:cs="Arial"/>
                <w:color w:val="000000"/>
                <w:sz w:val="20"/>
              </w:rPr>
              <w:t>Diversified</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BAF98" w14:textId="77777777" w:rsidR="001A6106" w:rsidRPr="00DC3AE1" w:rsidRDefault="00244A2A" w:rsidP="00F42BDB">
            <w:pPr>
              <w:jc w:val="center"/>
              <w:rPr>
                <w:rFonts w:cs="Arial"/>
                <w:color w:val="000000"/>
                <w:sz w:val="20"/>
              </w:rPr>
            </w:pPr>
            <w:r w:rsidRPr="00DC3AE1">
              <w:rPr>
                <w:rFonts w:cs="Arial"/>
                <w:color w:val="000000"/>
                <w:sz w:val="20"/>
              </w:rPr>
              <w:t>Diversified</w:t>
            </w:r>
          </w:p>
        </w:tc>
      </w:tr>
      <w:tr w:rsidR="00FF1560" w14:paraId="7329DF0B" w14:textId="77777777" w:rsidTr="00244A2A">
        <w:trPr>
          <w:trHeight w:val="900"/>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DFB2DA" w14:textId="77777777" w:rsidR="001A6106" w:rsidRPr="00DC3AE1" w:rsidRDefault="00244A2A" w:rsidP="00F42BDB">
            <w:pPr>
              <w:rPr>
                <w:rFonts w:cs="Arial"/>
                <w:color w:val="000000"/>
                <w:sz w:val="20"/>
              </w:rPr>
            </w:pPr>
            <w:r w:rsidRPr="00DC3AE1">
              <w:rPr>
                <w:rFonts w:cs="Arial"/>
                <w:color w:val="000000"/>
                <w:sz w:val="20"/>
              </w:rPr>
              <w:t>Private Equity</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D1CAD" w14:textId="77777777" w:rsidR="001A6106" w:rsidRDefault="00244A2A" w:rsidP="00F42BDB">
            <w:pPr>
              <w:rPr>
                <w:rFonts w:cs="Arial"/>
                <w:color w:val="000000"/>
                <w:sz w:val="20"/>
              </w:rPr>
            </w:pPr>
            <w:r>
              <w:rPr>
                <w:rFonts w:cs="Arial"/>
                <w:color w:val="000000"/>
                <w:sz w:val="20"/>
              </w:rPr>
              <w:t>- Economic growth</w:t>
            </w:r>
          </w:p>
          <w:p w14:paraId="6DA1FDA0" w14:textId="77777777" w:rsidR="001A6106" w:rsidRDefault="00244A2A" w:rsidP="00F42BDB">
            <w:pPr>
              <w:rPr>
                <w:rFonts w:cs="Arial"/>
                <w:color w:val="000000"/>
                <w:sz w:val="20"/>
              </w:rPr>
            </w:pPr>
            <w:r>
              <w:rPr>
                <w:rFonts w:cs="Arial"/>
                <w:color w:val="000000"/>
                <w:sz w:val="20"/>
              </w:rPr>
              <w:t xml:space="preserve">- </w:t>
            </w:r>
            <w:r w:rsidRPr="00DC3AE1">
              <w:rPr>
                <w:rFonts w:cs="Arial"/>
                <w:color w:val="000000"/>
                <w:sz w:val="20"/>
              </w:rPr>
              <w:t>Company growth</w:t>
            </w:r>
            <w:r w:rsidRPr="00DC3AE1">
              <w:rPr>
                <w:rFonts w:cs="Arial"/>
                <w:color w:val="000000"/>
                <w:sz w:val="20"/>
              </w:rPr>
              <w:br/>
              <w:t xml:space="preserve">- </w:t>
            </w:r>
            <w:r>
              <w:rPr>
                <w:rFonts w:cs="Arial"/>
                <w:color w:val="000000"/>
                <w:sz w:val="20"/>
              </w:rPr>
              <w:t>Earnings</w:t>
            </w:r>
            <w:r w:rsidRPr="00DC3AE1">
              <w:rPr>
                <w:rFonts w:cs="Arial"/>
                <w:color w:val="000000"/>
                <w:sz w:val="20"/>
              </w:rPr>
              <w:t xml:space="preserve"> </w:t>
            </w:r>
            <w:r>
              <w:rPr>
                <w:rFonts w:cs="Arial"/>
                <w:color w:val="000000"/>
                <w:sz w:val="20"/>
              </w:rPr>
              <w:t>g</w:t>
            </w:r>
            <w:r w:rsidRPr="00DC3AE1">
              <w:rPr>
                <w:rFonts w:cs="Arial"/>
                <w:color w:val="000000"/>
                <w:sz w:val="20"/>
              </w:rPr>
              <w:t>rowth</w:t>
            </w:r>
            <w:r w:rsidRPr="00DC3AE1">
              <w:rPr>
                <w:rFonts w:cs="Arial"/>
                <w:color w:val="000000"/>
                <w:sz w:val="20"/>
              </w:rPr>
              <w:br/>
              <w:t xml:space="preserve">- Change in </w:t>
            </w:r>
            <w:r>
              <w:rPr>
                <w:rFonts w:cs="Arial"/>
                <w:color w:val="000000"/>
                <w:sz w:val="20"/>
              </w:rPr>
              <w:t>company valuation</w:t>
            </w:r>
          </w:p>
          <w:p w14:paraId="7A8BC8CD" w14:textId="77777777" w:rsidR="001A6106" w:rsidRDefault="00244A2A" w:rsidP="00F42BDB">
            <w:pPr>
              <w:rPr>
                <w:rFonts w:cs="Arial"/>
                <w:color w:val="000000"/>
                <w:sz w:val="20"/>
              </w:rPr>
            </w:pPr>
            <w:r>
              <w:rPr>
                <w:rFonts w:cs="Arial"/>
                <w:color w:val="000000"/>
                <w:sz w:val="20"/>
              </w:rPr>
              <w:t>- Availability of finance</w:t>
            </w:r>
          </w:p>
          <w:p w14:paraId="5FA34D0B" w14:textId="77777777" w:rsidR="001A6106" w:rsidRPr="00DC3AE1" w:rsidRDefault="00244A2A" w:rsidP="00F42BDB">
            <w:pPr>
              <w:rPr>
                <w:rFonts w:cs="Arial"/>
                <w:color w:val="000000"/>
                <w:sz w:val="20"/>
              </w:rPr>
            </w:pPr>
            <w:r>
              <w:rPr>
                <w:rFonts w:cs="Arial"/>
                <w:color w:val="000000"/>
                <w:sz w:val="20"/>
              </w:rPr>
              <w:t>- Illiquidity premium</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F807B"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80AE39" w14:textId="77777777" w:rsidR="001A6106" w:rsidRPr="00DC3AE1" w:rsidRDefault="00244A2A" w:rsidP="00F42BDB">
            <w:pPr>
              <w:jc w:val="center"/>
              <w:rPr>
                <w:rFonts w:cs="Arial"/>
                <w:color w:val="000000"/>
                <w:sz w:val="20"/>
              </w:rPr>
            </w:pPr>
            <w:r w:rsidRPr="00DC3AE1">
              <w:rPr>
                <w:rFonts w:cs="Arial"/>
                <w:color w:val="000000"/>
                <w:sz w:val="20"/>
              </w:rPr>
              <w:t>+/ -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89BBF" w14:textId="77777777" w:rsidR="001A6106" w:rsidRPr="00DC3AE1" w:rsidRDefault="00244A2A" w:rsidP="00F42BDB">
            <w:pPr>
              <w:jc w:val="center"/>
              <w:rPr>
                <w:rFonts w:cs="Arial"/>
                <w:color w:val="000000"/>
                <w:sz w:val="20"/>
              </w:rPr>
            </w:pPr>
            <w:r w:rsidRPr="00DC3AE1">
              <w:rPr>
                <w:rFonts w:cs="Arial"/>
                <w:color w:val="000000"/>
                <w:sz w:val="20"/>
              </w:rPr>
              <w:t>Diversified</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BBC76" w14:textId="77777777" w:rsidR="001A6106" w:rsidRPr="00DC3AE1" w:rsidRDefault="00244A2A" w:rsidP="00F42BDB">
            <w:pPr>
              <w:jc w:val="center"/>
              <w:rPr>
                <w:rFonts w:cs="Arial"/>
                <w:color w:val="000000"/>
                <w:sz w:val="20"/>
              </w:rPr>
            </w:pPr>
            <w:r w:rsidRPr="00DC3AE1">
              <w:rPr>
                <w:rFonts w:cs="Arial"/>
                <w:color w:val="000000"/>
                <w:sz w:val="20"/>
              </w:rPr>
              <w:t>Diversified</w:t>
            </w:r>
          </w:p>
        </w:tc>
      </w:tr>
      <w:tr w:rsidR="00FF1560" w14:paraId="02F5B2A5" w14:textId="77777777" w:rsidTr="00244A2A">
        <w:trPr>
          <w:trHeight w:val="1017"/>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5EA395" w14:textId="77777777" w:rsidR="001A6106" w:rsidRPr="00DC3AE1" w:rsidRDefault="00244A2A" w:rsidP="00F42BDB">
            <w:pPr>
              <w:rPr>
                <w:rFonts w:cs="Arial"/>
                <w:color w:val="000000"/>
                <w:sz w:val="20"/>
              </w:rPr>
            </w:pPr>
            <w:r w:rsidRPr="00DC3AE1">
              <w:rPr>
                <w:rFonts w:cs="Arial"/>
                <w:color w:val="000000"/>
                <w:sz w:val="20"/>
              </w:rPr>
              <w:t>Fixed Income</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644E6" w14:textId="77777777" w:rsidR="001A6106" w:rsidRPr="00DC3AE1" w:rsidRDefault="00244A2A" w:rsidP="00F42BDB">
            <w:pPr>
              <w:rPr>
                <w:rFonts w:cs="Arial"/>
                <w:color w:val="000000"/>
                <w:sz w:val="20"/>
              </w:rPr>
            </w:pPr>
            <w:r w:rsidRPr="00DC3AE1">
              <w:rPr>
                <w:rFonts w:cs="Arial"/>
                <w:color w:val="000000"/>
                <w:sz w:val="20"/>
              </w:rPr>
              <w:t>- Yield (minus credit losses)</w:t>
            </w:r>
            <w:r w:rsidRPr="00DC3AE1">
              <w:rPr>
                <w:rFonts w:cs="Arial"/>
                <w:color w:val="000000"/>
                <w:sz w:val="20"/>
              </w:rPr>
              <w:br/>
              <w:t xml:space="preserve">- </w:t>
            </w:r>
            <w:r>
              <w:rPr>
                <w:rFonts w:cs="Arial"/>
                <w:color w:val="000000"/>
                <w:sz w:val="20"/>
              </w:rPr>
              <w:t>Valuation increases as bonds approach maturity</w:t>
            </w:r>
            <w:r w:rsidRPr="00DC3AE1">
              <w:rPr>
                <w:rFonts w:cs="Arial"/>
                <w:color w:val="000000"/>
                <w:sz w:val="20"/>
              </w:rPr>
              <w:br/>
              <w:t xml:space="preserve">- Change in </w:t>
            </w:r>
            <w:r>
              <w:rPr>
                <w:rFonts w:cs="Arial"/>
                <w:color w:val="000000"/>
                <w:sz w:val="20"/>
              </w:rPr>
              <w:t>y</w:t>
            </w:r>
            <w:r w:rsidRPr="00DC3AE1">
              <w:rPr>
                <w:rFonts w:cs="Arial"/>
                <w:color w:val="000000"/>
                <w:sz w:val="20"/>
              </w:rPr>
              <w:t>ield</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E071E"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E3E263" w14:textId="77777777" w:rsidR="001A6106" w:rsidRPr="00DC3AE1" w:rsidRDefault="00244A2A" w:rsidP="00F42BDB">
            <w:pPr>
              <w:jc w:val="center"/>
              <w:rPr>
                <w:rFonts w:cs="Arial"/>
                <w:color w:val="000000"/>
                <w:sz w:val="20"/>
              </w:rPr>
            </w:pPr>
            <w:r w:rsidRPr="00DC3AE1">
              <w:rPr>
                <w:rFonts w:cs="Arial"/>
                <w:color w:val="000000"/>
                <w:sz w:val="20"/>
              </w:rPr>
              <w: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0DDA9" w14:textId="77777777" w:rsidR="001A6106" w:rsidRPr="00DC3AE1" w:rsidRDefault="00244A2A" w:rsidP="00F42BDB">
            <w:pPr>
              <w:jc w:val="center"/>
              <w:rPr>
                <w:rFonts w:cs="Arial"/>
                <w:color w:val="000000"/>
                <w:sz w:val="20"/>
              </w:rPr>
            </w:pPr>
            <w:r w:rsidRPr="00DC3AE1">
              <w:rPr>
                <w:rFonts w:cs="Arial"/>
                <w:color w:val="000000"/>
                <w:sz w:val="20"/>
              </w:rPr>
              <w:t>Diversified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F4733C" w14:textId="77777777" w:rsidR="001A6106" w:rsidRPr="00DC3AE1" w:rsidRDefault="00244A2A" w:rsidP="00F42BDB">
            <w:pPr>
              <w:jc w:val="center"/>
              <w:rPr>
                <w:rFonts w:cs="Arial"/>
                <w:color w:val="000000"/>
                <w:sz w:val="20"/>
              </w:rPr>
            </w:pPr>
            <w:r w:rsidRPr="00DC3AE1">
              <w:rPr>
                <w:rFonts w:cs="Arial"/>
                <w:color w:val="000000"/>
                <w:sz w:val="20"/>
              </w:rPr>
              <w:t>Diversified </w:t>
            </w:r>
          </w:p>
        </w:tc>
      </w:tr>
      <w:tr w:rsidR="00FF1560" w14:paraId="713608E0" w14:textId="77777777" w:rsidTr="00244A2A">
        <w:trPr>
          <w:trHeight w:val="1162"/>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D32282" w14:textId="77777777" w:rsidR="001A6106" w:rsidRPr="00DC3AE1" w:rsidRDefault="00244A2A" w:rsidP="00F42BDB">
            <w:pPr>
              <w:rPr>
                <w:rFonts w:cs="Arial"/>
                <w:color w:val="000000"/>
                <w:sz w:val="20"/>
              </w:rPr>
            </w:pPr>
            <w:r w:rsidRPr="00DC3AE1">
              <w:rPr>
                <w:rFonts w:cs="Arial"/>
                <w:color w:val="000000"/>
                <w:sz w:val="20"/>
              </w:rPr>
              <w:t>Credit</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DFA269" w14:textId="77777777" w:rsidR="001A6106" w:rsidRPr="00DC3AE1" w:rsidRDefault="00244A2A" w:rsidP="00F42BDB">
            <w:pPr>
              <w:rPr>
                <w:rFonts w:cs="Arial"/>
                <w:color w:val="000000"/>
                <w:sz w:val="20"/>
              </w:rPr>
            </w:pPr>
            <w:r w:rsidRPr="00DC3AE1">
              <w:rPr>
                <w:rFonts w:cs="Arial"/>
                <w:color w:val="000000"/>
                <w:sz w:val="20"/>
              </w:rPr>
              <w:t>- Yield (minus credit l</w:t>
            </w:r>
            <w:r>
              <w:rPr>
                <w:rFonts w:cs="Arial"/>
                <w:color w:val="000000"/>
                <w:sz w:val="20"/>
              </w:rPr>
              <w:t>osses)</w:t>
            </w:r>
            <w:r>
              <w:rPr>
                <w:rFonts w:cs="Arial"/>
                <w:color w:val="000000"/>
                <w:sz w:val="20"/>
              </w:rPr>
              <w:br/>
              <w:t>- Valuation increases as bonds approach maturity</w:t>
            </w:r>
            <w:r>
              <w:rPr>
                <w:rFonts w:cs="Arial"/>
                <w:color w:val="000000"/>
                <w:sz w:val="20"/>
              </w:rPr>
              <w:br/>
              <w:t>- Change in y</w:t>
            </w:r>
            <w:r w:rsidRPr="00DC3AE1">
              <w:rPr>
                <w:rFonts w:cs="Arial"/>
                <w:color w:val="000000"/>
                <w:sz w:val="20"/>
              </w:rPr>
              <w:t>ield</w:t>
            </w:r>
            <w:r w:rsidRPr="00DC3AE1">
              <w:rPr>
                <w:rFonts w:cs="Arial"/>
                <w:color w:val="000000"/>
                <w:sz w:val="20"/>
              </w:rPr>
              <w:br/>
              <w:t xml:space="preserve">- Illiquidity </w:t>
            </w:r>
            <w:r>
              <w:rPr>
                <w:rFonts w:cs="Arial"/>
                <w:color w:val="000000"/>
                <w:sz w:val="20"/>
              </w:rPr>
              <w:t>p</w:t>
            </w:r>
            <w:r w:rsidRPr="00DC3AE1">
              <w:rPr>
                <w:rFonts w:cs="Arial"/>
                <w:color w:val="000000"/>
                <w:sz w:val="20"/>
              </w:rPr>
              <w:t>remium</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663DB4"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5A1EFF" w14:textId="77777777" w:rsidR="001A6106" w:rsidRPr="00DC3AE1" w:rsidRDefault="00244A2A" w:rsidP="00F42BDB">
            <w:pPr>
              <w:jc w:val="center"/>
              <w:rPr>
                <w:rFonts w:cs="Arial"/>
                <w:color w:val="000000"/>
                <w:sz w:val="20"/>
              </w:rPr>
            </w:pPr>
            <w:r w:rsidRPr="00DC3AE1">
              <w:rPr>
                <w:rFonts w:cs="Arial"/>
                <w:color w:val="000000"/>
                <w:sz w:val="20"/>
              </w:rPr>
              <w: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63F92B" w14:textId="77777777" w:rsidR="001A6106" w:rsidRPr="00DC3AE1" w:rsidRDefault="00244A2A" w:rsidP="00F42BDB">
            <w:pPr>
              <w:jc w:val="center"/>
              <w:rPr>
                <w:rFonts w:cs="Arial"/>
                <w:color w:val="000000"/>
                <w:sz w:val="20"/>
              </w:rPr>
            </w:pPr>
            <w:r w:rsidRPr="00DC3AE1">
              <w:rPr>
                <w:rFonts w:cs="Arial"/>
                <w:color w:val="000000"/>
                <w:sz w:val="20"/>
              </w:rPr>
              <w:t>Diversified</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5AF356" w14:textId="77777777" w:rsidR="001A6106" w:rsidRPr="00DC3AE1" w:rsidRDefault="00244A2A" w:rsidP="00F42BDB">
            <w:pPr>
              <w:jc w:val="center"/>
              <w:rPr>
                <w:rFonts w:cs="Arial"/>
                <w:color w:val="000000"/>
                <w:sz w:val="20"/>
              </w:rPr>
            </w:pPr>
            <w:r w:rsidRPr="00DC3AE1">
              <w:rPr>
                <w:rFonts w:cs="Arial"/>
                <w:color w:val="000000"/>
                <w:sz w:val="20"/>
              </w:rPr>
              <w:t>Diversified</w:t>
            </w:r>
          </w:p>
        </w:tc>
      </w:tr>
      <w:tr w:rsidR="00FF1560" w14:paraId="791F28E8" w14:textId="77777777" w:rsidTr="00244A2A">
        <w:trPr>
          <w:trHeight w:val="954"/>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FF6306" w14:textId="77777777" w:rsidR="001A6106" w:rsidRPr="00DC3AE1" w:rsidRDefault="00244A2A" w:rsidP="00F42BDB">
            <w:pPr>
              <w:rPr>
                <w:rFonts w:cs="Arial"/>
                <w:color w:val="000000"/>
                <w:sz w:val="20"/>
              </w:rPr>
            </w:pPr>
            <w:r>
              <w:rPr>
                <w:rFonts w:cs="Arial"/>
                <w:color w:val="000000"/>
                <w:sz w:val="20"/>
              </w:rPr>
              <w:t>Real Estate</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6BB84" w14:textId="77777777" w:rsidR="001A6106" w:rsidRPr="00DC3AE1" w:rsidRDefault="00244A2A" w:rsidP="00F42BDB">
            <w:pPr>
              <w:rPr>
                <w:rFonts w:cs="Arial"/>
                <w:color w:val="000000"/>
                <w:sz w:val="20"/>
              </w:rPr>
            </w:pPr>
            <w:r w:rsidRPr="00DC3AE1">
              <w:rPr>
                <w:rFonts w:cs="Arial"/>
                <w:color w:val="000000"/>
                <w:sz w:val="20"/>
              </w:rPr>
              <w:t xml:space="preserve">- Rental </w:t>
            </w:r>
            <w:r>
              <w:rPr>
                <w:rFonts w:cs="Arial"/>
                <w:color w:val="000000"/>
                <w:sz w:val="20"/>
              </w:rPr>
              <w:t>y</w:t>
            </w:r>
            <w:r w:rsidRPr="00DC3AE1">
              <w:rPr>
                <w:rFonts w:cs="Arial"/>
                <w:color w:val="000000"/>
                <w:sz w:val="20"/>
              </w:rPr>
              <w:t xml:space="preserve">ield </w:t>
            </w:r>
            <w:r>
              <w:rPr>
                <w:rFonts w:cs="Arial"/>
                <w:color w:val="000000"/>
                <w:sz w:val="20"/>
              </w:rPr>
              <w:t>(</w:t>
            </w:r>
            <w:r w:rsidRPr="00DC3AE1">
              <w:rPr>
                <w:rFonts w:cs="Arial"/>
                <w:color w:val="000000"/>
                <w:sz w:val="20"/>
              </w:rPr>
              <w:t xml:space="preserve">minus </w:t>
            </w:r>
            <w:r>
              <w:rPr>
                <w:rFonts w:cs="Arial"/>
                <w:color w:val="000000"/>
                <w:sz w:val="20"/>
              </w:rPr>
              <w:t>expenses)</w:t>
            </w:r>
            <w:r w:rsidRPr="00DC3AE1">
              <w:rPr>
                <w:rFonts w:cs="Arial"/>
                <w:color w:val="000000"/>
                <w:sz w:val="20"/>
              </w:rPr>
              <w:br/>
              <w:t xml:space="preserve">- Rental </w:t>
            </w:r>
            <w:r>
              <w:rPr>
                <w:rFonts w:cs="Arial"/>
                <w:color w:val="000000"/>
                <w:sz w:val="20"/>
              </w:rPr>
              <w:t>g</w:t>
            </w:r>
            <w:r w:rsidRPr="00DC3AE1">
              <w:rPr>
                <w:rFonts w:cs="Arial"/>
                <w:color w:val="000000"/>
                <w:sz w:val="20"/>
              </w:rPr>
              <w:t>rowth</w:t>
            </w:r>
            <w:r w:rsidRPr="00DC3AE1">
              <w:rPr>
                <w:rFonts w:cs="Arial"/>
                <w:color w:val="000000"/>
                <w:sz w:val="20"/>
              </w:rPr>
              <w:br/>
              <w:t xml:space="preserve">- Capital </w:t>
            </w:r>
            <w:r>
              <w:rPr>
                <w:rFonts w:cs="Arial"/>
                <w:color w:val="000000"/>
                <w:sz w:val="20"/>
              </w:rPr>
              <w:t>g</w:t>
            </w:r>
            <w:r w:rsidRPr="00DC3AE1">
              <w:rPr>
                <w:rFonts w:cs="Arial"/>
                <w:color w:val="000000"/>
                <w:sz w:val="20"/>
              </w:rPr>
              <w:t xml:space="preserve">rowth </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484BA"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F4C23D" w14:textId="77777777" w:rsidR="001A6106" w:rsidRPr="00DC3AE1" w:rsidRDefault="00244A2A" w:rsidP="00F42BDB">
            <w:pPr>
              <w:jc w:val="center"/>
              <w:rPr>
                <w:rFonts w:cs="Arial"/>
                <w:color w:val="000000"/>
                <w:sz w:val="20"/>
              </w:rPr>
            </w:pPr>
            <w:r w:rsidRPr="00DC3AE1">
              <w:rPr>
                <w:rFonts w:cs="Arial"/>
                <w:color w:val="000000"/>
                <w:sz w:val="20"/>
              </w:rPr>
              <w:t>+/ -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CC82F1" w14:textId="77777777" w:rsidR="001A6106" w:rsidRPr="00DC3AE1" w:rsidRDefault="00244A2A" w:rsidP="00F42BDB">
            <w:pPr>
              <w:jc w:val="center"/>
              <w:rPr>
                <w:rFonts w:cs="Arial"/>
                <w:color w:val="000000"/>
                <w:sz w:val="20"/>
              </w:rPr>
            </w:pPr>
            <w:r w:rsidRPr="00DC3AE1">
              <w:rPr>
                <w:rFonts w:cs="Arial"/>
                <w:color w:val="000000"/>
                <w:sz w:val="20"/>
              </w:rPr>
              <w:t>Predominantly UK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816CA" w14:textId="77777777" w:rsidR="001A6106" w:rsidRPr="00DC3AE1" w:rsidRDefault="00244A2A" w:rsidP="00F42BDB">
            <w:pPr>
              <w:jc w:val="center"/>
              <w:rPr>
                <w:rFonts w:cs="Arial"/>
                <w:color w:val="000000"/>
                <w:sz w:val="20"/>
              </w:rPr>
            </w:pPr>
            <w:r w:rsidRPr="00DC3AE1">
              <w:rPr>
                <w:rFonts w:cs="Arial"/>
                <w:color w:val="000000"/>
                <w:sz w:val="20"/>
              </w:rPr>
              <w:t>Predominantly GBP</w:t>
            </w:r>
          </w:p>
        </w:tc>
      </w:tr>
      <w:tr w:rsidR="00FF1560" w14:paraId="7C37B803" w14:textId="77777777" w:rsidTr="00244A2A">
        <w:trPr>
          <w:trHeight w:val="900"/>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8F1E6C" w14:textId="77777777" w:rsidR="001A6106" w:rsidRPr="00DC3AE1" w:rsidRDefault="00244A2A" w:rsidP="00F42BDB">
            <w:pPr>
              <w:rPr>
                <w:rFonts w:cs="Arial"/>
                <w:color w:val="000000"/>
                <w:sz w:val="20"/>
              </w:rPr>
            </w:pPr>
            <w:r w:rsidRPr="00DC3AE1">
              <w:rPr>
                <w:rFonts w:cs="Arial"/>
                <w:color w:val="000000"/>
                <w:sz w:val="20"/>
              </w:rPr>
              <w:t>Infrastructure</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8EE855" w14:textId="77777777" w:rsidR="001A6106" w:rsidRPr="00DC3AE1" w:rsidRDefault="00244A2A" w:rsidP="00F42BDB">
            <w:pPr>
              <w:rPr>
                <w:rFonts w:cs="Arial"/>
                <w:color w:val="000000"/>
                <w:sz w:val="20"/>
              </w:rPr>
            </w:pPr>
            <w:r w:rsidRPr="00DC3AE1">
              <w:rPr>
                <w:rFonts w:cs="Arial"/>
                <w:color w:val="000000"/>
                <w:sz w:val="20"/>
              </w:rPr>
              <w:t xml:space="preserve">- Dividend </w:t>
            </w:r>
            <w:r>
              <w:rPr>
                <w:rFonts w:cs="Arial"/>
                <w:color w:val="000000"/>
                <w:sz w:val="20"/>
              </w:rPr>
              <w:t>i</w:t>
            </w:r>
            <w:r w:rsidRPr="00DC3AE1">
              <w:rPr>
                <w:rFonts w:cs="Arial"/>
                <w:color w:val="000000"/>
                <w:sz w:val="20"/>
              </w:rPr>
              <w:t>ncome</w:t>
            </w:r>
            <w:r w:rsidRPr="00DC3AE1">
              <w:rPr>
                <w:rFonts w:cs="Arial"/>
                <w:color w:val="000000"/>
                <w:sz w:val="20"/>
              </w:rPr>
              <w:br/>
              <w:t xml:space="preserve">- </w:t>
            </w:r>
            <w:r>
              <w:rPr>
                <w:rFonts w:cs="Arial"/>
                <w:color w:val="000000"/>
                <w:sz w:val="20"/>
              </w:rPr>
              <w:t>Dividend g</w:t>
            </w:r>
            <w:r w:rsidRPr="00DC3AE1">
              <w:rPr>
                <w:rFonts w:cs="Arial"/>
                <w:color w:val="000000"/>
                <w:sz w:val="20"/>
              </w:rPr>
              <w:t>rowth</w:t>
            </w:r>
            <w:r w:rsidRPr="00DC3AE1">
              <w:rPr>
                <w:rFonts w:cs="Arial"/>
                <w:color w:val="000000"/>
                <w:sz w:val="20"/>
              </w:rPr>
              <w:br/>
              <w:t xml:space="preserve">- </w:t>
            </w:r>
            <w:r>
              <w:rPr>
                <w:rFonts w:cs="Arial"/>
                <w:color w:val="000000"/>
                <w:sz w:val="20"/>
              </w:rPr>
              <w:t>Capital growth</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73C937"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B0FA3" w14:textId="77777777" w:rsidR="001A6106" w:rsidRPr="00DC3AE1" w:rsidRDefault="00244A2A" w:rsidP="00F42BDB">
            <w:pPr>
              <w:jc w:val="center"/>
              <w:rPr>
                <w:rFonts w:cs="Arial"/>
                <w:color w:val="000000"/>
                <w:sz w:val="20"/>
              </w:rPr>
            </w:pPr>
            <w:r w:rsidRPr="00DC3AE1">
              <w:rPr>
                <w:rFonts w:cs="Arial"/>
                <w:color w:val="000000"/>
                <w:sz w:val="20"/>
              </w:rPr>
              <w: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38CB8" w14:textId="77777777" w:rsidR="001A6106" w:rsidRPr="00DC3AE1" w:rsidRDefault="00244A2A" w:rsidP="00F42BDB">
            <w:pPr>
              <w:jc w:val="center"/>
              <w:rPr>
                <w:rFonts w:cs="Arial"/>
                <w:color w:val="000000"/>
                <w:sz w:val="20"/>
              </w:rPr>
            </w:pPr>
            <w:r w:rsidRPr="00DC3AE1">
              <w:rPr>
                <w:rFonts w:cs="Arial"/>
                <w:color w:val="000000"/>
                <w:sz w:val="20"/>
              </w:rPr>
              <w:t>Predominantly UK</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A6AFF" w14:textId="77777777" w:rsidR="001A6106" w:rsidRPr="00DC3AE1" w:rsidRDefault="00244A2A" w:rsidP="00F42BDB">
            <w:pPr>
              <w:jc w:val="center"/>
              <w:rPr>
                <w:rFonts w:cs="Arial"/>
                <w:color w:val="000000"/>
                <w:sz w:val="20"/>
              </w:rPr>
            </w:pPr>
            <w:r w:rsidRPr="00DC3AE1">
              <w:rPr>
                <w:rFonts w:cs="Arial"/>
                <w:color w:val="000000"/>
                <w:sz w:val="20"/>
              </w:rPr>
              <w:t>Predominantly GBP</w:t>
            </w:r>
          </w:p>
        </w:tc>
      </w:tr>
      <w:tr w:rsidR="00FF1560" w14:paraId="42020379" w14:textId="77777777" w:rsidTr="00244A2A">
        <w:trPr>
          <w:trHeight w:val="600"/>
        </w:trPr>
        <w:tc>
          <w:tcPr>
            <w:tcW w:w="141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9B4334" w14:textId="77777777" w:rsidR="001A6106" w:rsidRDefault="00244A2A" w:rsidP="00F42BDB">
            <w:pPr>
              <w:rPr>
                <w:rFonts w:cs="Arial"/>
                <w:color w:val="000000"/>
                <w:sz w:val="20"/>
              </w:rPr>
            </w:pPr>
            <w:r>
              <w:rPr>
                <w:rFonts w:cs="Arial"/>
                <w:color w:val="000000"/>
                <w:sz w:val="20"/>
              </w:rPr>
              <w:t>Diversifying</w:t>
            </w:r>
          </w:p>
          <w:p w14:paraId="5F6DDBF5" w14:textId="77777777" w:rsidR="001A6106" w:rsidRPr="00DC3AE1" w:rsidRDefault="00244A2A" w:rsidP="00F42BDB">
            <w:pPr>
              <w:rPr>
                <w:rFonts w:cs="Arial"/>
                <w:color w:val="000000"/>
                <w:sz w:val="20"/>
              </w:rPr>
            </w:pPr>
            <w:r>
              <w:rPr>
                <w:rFonts w:cs="Arial"/>
                <w:color w:val="000000"/>
                <w:sz w:val="20"/>
              </w:rPr>
              <w:t xml:space="preserve">Strategies </w:t>
            </w:r>
          </w:p>
        </w:tc>
        <w:tc>
          <w:tcPr>
            <w:tcW w:w="366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C3D72" w14:textId="77777777" w:rsidR="001A6106" w:rsidRPr="00DC3AE1" w:rsidRDefault="00244A2A" w:rsidP="00F42BDB">
            <w:pPr>
              <w:rPr>
                <w:rFonts w:cs="Arial"/>
                <w:color w:val="000000"/>
                <w:sz w:val="20"/>
              </w:rPr>
            </w:pPr>
            <w:r w:rsidRPr="00DC3AE1">
              <w:rPr>
                <w:rFonts w:cs="Arial"/>
                <w:color w:val="000000"/>
                <w:sz w:val="20"/>
              </w:rPr>
              <w:t>- Diversified</w:t>
            </w:r>
          </w:p>
        </w:tc>
        <w:tc>
          <w:tcPr>
            <w:tcW w:w="113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DEB85" w14:textId="77777777" w:rsidR="001A6106" w:rsidRPr="00DC3AE1" w:rsidRDefault="00244A2A" w:rsidP="00F42BDB">
            <w:pPr>
              <w:jc w:val="center"/>
              <w:rPr>
                <w:rFonts w:cs="Arial"/>
                <w:color w:val="000000"/>
                <w:sz w:val="20"/>
              </w:rPr>
            </w:pPr>
            <w:r w:rsidRPr="00DC3AE1">
              <w:rPr>
                <w:rFonts w:cs="Arial"/>
                <w:color w:val="000000"/>
                <w:sz w:val="20"/>
              </w:rPr>
              <w:t>Low correlation</w:t>
            </w:r>
          </w:p>
        </w:tc>
        <w:tc>
          <w:tcPr>
            <w:tcW w:w="11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71347E" w14:textId="77777777" w:rsidR="001A6106" w:rsidRPr="00DC3AE1" w:rsidRDefault="00244A2A" w:rsidP="00F42BDB">
            <w:pPr>
              <w:jc w:val="center"/>
              <w:rPr>
                <w:rFonts w:cs="Arial"/>
                <w:color w:val="000000"/>
                <w:sz w:val="20"/>
              </w:rPr>
            </w:pPr>
            <w:r w:rsidRPr="00DC3AE1">
              <w:rPr>
                <w:rFonts w:cs="Arial"/>
                <w:color w:val="000000"/>
                <w:sz w:val="20"/>
              </w:rPr>
              <w:t>Low correlation</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F7A430" w14:textId="77777777" w:rsidR="001A6106" w:rsidRPr="00DC3AE1" w:rsidRDefault="00244A2A" w:rsidP="00F42BDB">
            <w:pPr>
              <w:jc w:val="center"/>
              <w:rPr>
                <w:rFonts w:cs="Arial"/>
                <w:color w:val="000000"/>
                <w:sz w:val="20"/>
              </w:rPr>
            </w:pPr>
            <w:r w:rsidRPr="00DC3AE1">
              <w:rPr>
                <w:rFonts w:cs="Arial"/>
                <w:color w:val="000000"/>
                <w:sz w:val="20"/>
              </w:rPr>
              <w:t>Diversified</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273D2" w14:textId="77777777" w:rsidR="001A6106" w:rsidRPr="00DC3AE1" w:rsidRDefault="00244A2A" w:rsidP="00F42BDB">
            <w:pPr>
              <w:jc w:val="center"/>
              <w:rPr>
                <w:rFonts w:cs="Arial"/>
                <w:color w:val="000000"/>
                <w:sz w:val="20"/>
              </w:rPr>
            </w:pPr>
            <w:r w:rsidRPr="00DC3AE1">
              <w:rPr>
                <w:rFonts w:cs="Arial"/>
                <w:color w:val="000000"/>
                <w:sz w:val="20"/>
              </w:rPr>
              <w:t>Diversified</w:t>
            </w:r>
          </w:p>
        </w:tc>
      </w:tr>
      <w:tr w:rsidR="00FF1560" w14:paraId="06AB3557" w14:textId="77777777" w:rsidTr="00244A2A">
        <w:trPr>
          <w:trHeight w:val="546"/>
        </w:trPr>
        <w:tc>
          <w:tcPr>
            <w:tcW w:w="14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4C1E09" w14:textId="77777777" w:rsidR="001A6106" w:rsidRPr="00DC3AE1" w:rsidRDefault="00244A2A" w:rsidP="00F42BDB">
            <w:pPr>
              <w:rPr>
                <w:rFonts w:cs="Arial"/>
                <w:color w:val="000000"/>
                <w:sz w:val="20"/>
              </w:rPr>
            </w:pPr>
            <w:r w:rsidRPr="00DC3AE1">
              <w:rPr>
                <w:rFonts w:cs="Arial"/>
                <w:color w:val="000000"/>
                <w:sz w:val="20"/>
              </w:rPr>
              <w:t>Cash</w:t>
            </w:r>
          </w:p>
        </w:tc>
        <w:tc>
          <w:tcPr>
            <w:tcW w:w="3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291A63" w14:textId="77777777" w:rsidR="001A6106" w:rsidRPr="00DC3AE1" w:rsidRDefault="00244A2A" w:rsidP="00F42BDB">
            <w:pPr>
              <w:rPr>
                <w:rFonts w:cs="Arial"/>
                <w:color w:val="000000"/>
                <w:sz w:val="20"/>
              </w:rPr>
            </w:pPr>
            <w:r w:rsidRPr="00DC3AE1">
              <w:rPr>
                <w:rFonts w:cs="Arial"/>
                <w:color w:val="000000"/>
                <w:sz w:val="20"/>
              </w:rPr>
              <w:t>- Yield</w:t>
            </w:r>
          </w:p>
        </w:tc>
        <w:tc>
          <w:tcPr>
            <w:tcW w:w="113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E5F6A5" w14:textId="77777777" w:rsidR="001A6106" w:rsidRPr="00DC3AE1" w:rsidRDefault="00244A2A" w:rsidP="00F42BDB">
            <w:pPr>
              <w:jc w:val="center"/>
              <w:rPr>
                <w:rFonts w:cs="Arial"/>
                <w:color w:val="000000"/>
                <w:sz w:val="20"/>
              </w:rPr>
            </w:pPr>
            <w:r w:rsidRPr="00DC3AE1">
              <w:rPr>
                <w:rFonts w:cs="Arial"/>
                <w:color w:val="000000"/>
                <w:sz w:val="20"/>
              </w:rPr>
              <w:t>+</w:t>
            </w:r>
          </w:p>
        </w:tc>
        <w:tc>
          <w:tcPr>
            <w:tcW w:w="11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3F800" w14:textId="77777777" w:rsidR="001A6106" w:rsidRPr="00DC3AE1" w:rsidRDefault="00244A2A" w:rsidP="00F42BDB">
            <w:pPr>
              <w:jc w:val="center"/>
              <w:rPr>
                <w:rFonts w:cs="Arial"/>
                <w:color w:val="000000"/>
                <w:sz w:val="20"/>
              </w:rPr>
            </w:pPr>
            <w:r>
              <w:rPr>
                <w:rFonts w:cs="Arial"/>
                <w:color w:val="000000"/>
                <w:sz w:val="20"/>
              </w:rPr>
              <w:t>-</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DEC98" w14:textId="77777777" w:rsidR="001A6106" w:rsidRPr="00DC3AE1" w:rsidRDefault="00244A2A" w:rsidP="00F42BDB">
            <w:pPr>
              <w:jc w:val="center"/>
              <w:rPr>
                <w:rFonts w:cs="Arial"/>
                <w:color w:val="000000"/>
                <w:sz w:val="20"/>
              </w:rPr>
            </w:pPr>
            <w:r w:rsidRPr="00DC3AE1">
              <w:rPr>
                <w:rFonts w:cs="Arial"/>
                <w:color w:val="000000"/>
                <w:sz w:val="20"/>
              </w:rPr>
              <w:t>Predominantly UK</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2A5FD5" w14:textId="77777777" w:rsidR="001A6106" w:rsidRPr="00DC3AE1" w:rsidRDefault="00244A2A" w:rsidP="00F42BDB">
            <w:pPr>
              <w:jc w:val="center"/>
              <w:rPr>
                <w:rFonts w:cs="Arial"/>
                <w:color w:val="000000"/>
                <w:sz w:val="20"/>
              </w:rPr>
            </w:pPr>
            <w:r w:rsidRPr="00DC3AE1">
              <w:rPr>
                <w:rFonts w:cs="Arial"/>
                <w:color w:val="000000"/>
                <w:sz w:val="20"/>
              </w:rPr>
              <w:t>Predominantly GBP</w:t>
            </w:r>
          </w:p>
        </w:tc>
      </w:tr>
    </w:tbl>
    <w:p w14:paraId="7129FE9A" w14:textId="77777777" w:rsidR="001A6106" w:rsidRDefault="00244A2A" w:rsidP="001A6106">
      <w:pPr>
        <w:jc w:val="both"/>
        <w:rPr>
          <w:rFonts w:cs="Arial"/>
          <w:i/>
          <w:sz w:val="20"/>
        </w:rPr>
      </w:pPr>
      <w:r w:rsidRPr="009D4851">
        <w:rPr>
          <w:rFonts w:cs="Arial"/>
          <w:i/>
          <w:sz w:val="20"/>
        </w:rPr>
        <w:t xml:space="preserve">*Sensitivities shown are to positive shocks, i.e. if growth and inflation surprise on the upside.  </w:t>
      </w:r>
    </w:p>
    <w:p w14:paraId="73195C65" w14:textId="77777777" w:rsidR="001A6106" w:rsidRDefault="00244A2A" w:rsidP="001A6106">
      <w:pPr>
        <w:jc w:val="both"/>
        <w:rPr>
          <w:rFonts w:cs="Arial"/>
          <w:i/>
          <w:sz w:val="20"/>
        </w:rPr>
      </w:pPr>
      <w:r w:rsidRPr="009D4851">
        <w:rPr>
          <w:rFonts w:cs="Arial"/>
          <w:i/>
          <w:sz w:val="20"/>
        </w:rPr>
        <w:t>** Property, public and private equities expected to provide partial inflation protection.</w:t>
      </w:r>
    </w:p>
    <w:p w14:paraId="2EFA71AC" w14:textId="77777777" w:rsidR="001A6106" w:rsidRPr="009D4851" w:rsidRDefault="00540554" w:rsidP="001A6106">
      <w:pPr>
        <w:jc w:val="both"/>
        <w:rPr>
          <w:rFonts w:cs="Arial"/>
          <w:i/>
          <w:sz w:val="20"/>
        </w:rPr>
      </w:pPr>
    </w:p>
    <w:p w14:paraId="58E7AB60" w14:textId="77777777" w:rsidR="001A6106" w:rsidRPr="007C3632" w:rsidRDefault="00244A2A" w:rsidP="001A6106">
      <w:pPr>
        <w:jc w:val="both"/>
        <w:rPr>
          <w:rFonts w:cs="Arial"/>
        </w:rPr>
      </w:pPr>
      <w:r>
        <w:rPr>
          <w:rFonts w:cs="Arial"/>
        </w:rPr>
        <w:t>The Committee, advised by the Panel,</w:t>
      </w:r>
      <w:r w:rsidRPr="007C3632">
        <w:rPr>
          <w:rFonts w:cs="Arial"/>
        </w:rPr>
        <w:t xml:space="preserve"> have determined benchmark weights to each asset class which it believe</w:t>
      </w:r>
      <w:r>
        <w:rPr>
          <w:rFonts w:cs="Arial"/>
        </w:rPr>
        <w:t>s</w:t>
      </w:r>
      <w:r w:rsidRPr="007C3632">
        <w:rPr>
          <w:rFonts w:cs="Arial"/>
        </w:rPr>
        <w:t xml:space="preserve"> to be best suited to meeting the long term objectives of the Fund. It has also identified tolerance ranges within which shorter term variations would be tolerated and/or actively pursued due to a combination of relative returns and investment opportunity. </w:t>
      </w:r>
    </w:p>
    <w:p w14:paraId="4AA65E30" w14:textId="77777777" w:rsidR="001A6106" w:rsidRDefault="00540554" w:rsidP="001A6106">
      <w:pPr>
        <w:jc w:val="both"/>
        <w:rPr>
          <w:rFonts w:cs="Arial"/>
        </w:rPr>
      </w:pPr>
    </w:p>
    <w:p w14:paraId="6B7828E2" w14:textId="77777777" w:rsidR="001A6106" w:rsidRDefault="00244A2A" w:rsidP="001A6106">
      <w:pPr>
        <w:jc w:val="both"/>
        <w:rPr>
          <w:rFonts w:cs="Arial"/>
        </w:rPr>
      </w:pPr>
      <w:r w:rsidRPr="007C3632">
        <w:rPr>
          <w:rFonts w:cs="Arial"/>
        </w:rPr>
        <w:t xml:space="preserve">The benchmark weight and tolerances are shown in the table below. The weights are to be maintained within the ranges, as long as the </w:t>
      </w:r>
      <w:r>
        <w:rPr>
          <w:rFonts w:cs="Arial"/>
        </w:rPr>
        <w:t>Fund</w:t>
      </w:r>
      <w:r w:rsidRPr="007C3632">
        <w:rPr>
          <w:rFonts w:cs="Arial"/>
        </w:rPr>
        <w:t xml:space="preserve"> can find attractive opportunities that meet its return, risk, and cash flow requirements. In the absence of opportunities investments will not be “forced” and under/over allocations may be made to any asset class</w:t>
      </w:r>
      <w:r>
        <w:rPr>
          <w:rFonts w:cs="Arial"/>
        </w:rPr>
        <w:t xml:space="preserve"> whilst also remaining within the tolerance ranges</w:t>
      </w:r>
      <w:r w:rsidRPr="007C3632">
        <w:rPr>
          <w:rFonts w:cs="Arial"/>
        </w:rPr>
        <w:t>.</w:t>
      </w:r>
      <w:r>
        <w:rPr>
          <w:rFonts w:cs="Arial"/>
        </w:rPr>
        <w:t xml:space="preserve"> Should any allocation fall outside of the range the Committee shall seek to bring the allocation back within the range as soon as suitable opportunities are identified.</w:t>
      </w:r>
    </w:p>
    <w:p w14:paraId="7BC550F2" w14:textId="77777777" w:rsidR="001A6106" w:rsidRDefault="00540554" w:rsidP="001A6106">
      <w:pPr>
        <w:jc w:val="both"/>
        <w:rPr>
          <w:rFonts w:cs="Arial"/>
        </w:rPr>
      </w:pPr>
    </w:p>
    <w:p w14:paraId="5BBF5504" w14:textId="77777777" w:rsidR="001A6106" w:rsidRDefault="00244A2A" w:rsidP="001A6106">
      <w:pPr>
        <w:jc w:val="both"/>
        <w:rPr>
          <w:rFonts w:cs="Arial"/>
        </w:rPr>
      </w:pPr>
      <w:r>
        <w:rPr>
          <w:rFonts w:cs="Arial"/>
        </w:rPr>
        <w:t>The Panel review the Strategic Asset Allocations (see below) and recommend any changes to the Committee. This table sets out the Strategic Asset Allocations approved by Committee in September 2020. In addition, the Committee and/or the Panel review any exposures which arise outside these tolerances and advise appropriate action.</w:t>
      </w:r>
    </w:p>
    <w:p w14:paraId="562D5318" w14:textId="77777777" w:rsidR="001A6106" w:rsidRDefault="00540554" w:rsidP="001A6106">
      <w:pPr>
        <w:jc w:val="center"/>
      </w:pPr>
    </w:p>
    <w:p w14:paraId="23D994FD" w14:textId="6A82889F" w:rsidR="00B23A81" w:rsidRDefault="00540554" w:rsidP="001A6106">
      <w:pPr>
        <w:jc w:val="center"/>
      </w:pPr>
    </w:p>
    <w:p w14:paraId="2CC01B39" w14:textId="77777777" w:rsidR="00244A2A" w:rsidRDefault="00244A2A" w:rsidP="001A61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2593"/>
      </w:tblGrid>
      <w:tr w:rsidR="00FF1560" w14:paraId="3ECFE3F0" w14:textId="77777777" w:rsidTr="00F42BDB">
        <w:tc>
          <w:tcPr>
            <w:tcW w:w="3081" w:type="dxa"/>
            <w:shd w:val="clear" w:color="auto" w:fill="auto"/>
          </w:tcPr>
          <w:p w14:paraId="6D357C82" w14:textId="77777777" w:rsidR="001A6106" w:rsidRPr="00244A2A" w:rsidRDefault="00244A2A" w:rsidP="00F42BDB">
            <w:pPr>
              <w:jc w:val="center"/>
              <w:rPr>
                <w:b/>
                <w:sz w:val="20"/>
                <w:szCs w:val="20"/>
              </w:rPr>
            </w:pPr>
            <w:r w:rsidRPr="00244A2A">
              <w:rPr>
                <w:b/>
                <w:sz w:val="20"/>
                <w:szCs w:val="20"/>
              </w:rPr>
              <w:lastRenderedPageBreak/>
              <w:t>Asset Class</w:t>
            </w:r>
          </w:p>
        </w:tc>
        <w:tc>
          <w:tcPr>
            <w:tcW w:w="3081" w:type="dxa"/>
            <w:shd w:val="clear" w:color="auto" w:fill="auto"/>
          </w:tcPr>
          <w:p w14:paraId="37F675D2" w14:textId="77777777" w:rsidR="001A6106" w:rsidRPr="00244A2A" w:rsidRDefault="00244A2A" w:rsidP="00F42BDB">
            <w:pPr>
              <w:jc w:val="center"/>
              <w:rPr>
                <w:b/>
                <w:sz w:val="20"/>
                <w:szCs w:val="20"/>
              </w:rPr>
            </w:pPr>
            <w:r w:rsidRPr="00244A2A">
              <w:rPr>
                <w:b/>
                <w:sz w:val="20"/>
                <w:szCs w:val="20"/>
              </w:rPr>
              <w:t>Benchmark weight (%)</w:t>
            </w:r>
          </w:p>
        </w:tc>
        <w:tc>
          <w:tcPr>
            <w:tcW w:w="2593" w:type="dxa"/>
            <w:shd w:val="clear" w:color="auto" w:fill="auto"/>
          </w:tcPr>
          <w:p w14:paraId="0512D707" w14:textId="77777777" w:rsidR="001A6106" w:rsidRPr="00244A2A" w:rsidRDefault="00244A2A" w:rsidP="00F42BDB">
            <w:pPr>
              <w:jc w:val="center"/>
              <w:rPr>
                <w:b/>
                <w:sz w:val="20"/>
                <w:szCs w:val="20"/>
              </w:rPr>
            </w:pPr>
            <w:r w:rsidRPr="00244A2A">
              <w:rPr>
                <w:b/>
                <w:sz w:val="20"/>
                <w:szCs w:val="20"/>
              </w:rPr>
              <w:t>Range (%)</w:t>
            </w:r>
          </w:p>
        </w:tc>
      </w:tr>
      <w:tr w:rsidR="00FF1560" w14:paraId="79093DB0" w14:textId="77777777" w:rsidTr="00F42BDB">
        <w:tc>
          <w:tcPr>
            <w:tcW w:w="3081" w:type="dxa"/>
            <w:shd w:val="clear" w:color="auto" w:fill="auto"/>
          </w:tcPr>
          <w:p w14:paraId="48683119" w14:textId="77777777" w:rsidR="001A6106" w:rsidRPr="00244A2A" w:rsidRDefault="00244A2A" w:rsidP="00F42BDB">
            <w:pPr>
              <w:rPr>
                <w:sz w:val="20"/>
                <w:szCs w:val="20"/>
                <w:highlight w:val="yellow"/>
              </w:rPr>
            </w:pPr>
            <w:r w:rsidRPr="00244A2A">
              <w:rPr>
                <w:sz w:val="20"/>
                <w:szCs w:val="20"/>
              </w:rPr>
              <w:t>Global Equities</w:t>
            </w:r>
          </w:p>
        </w:tc>
        <w:tc>
          <w:tcPr>
            <w:tcW w:w="3081" w:type="dxa"/>
            <w:shd w:val="clear" w:color="auto" w:fill="auto"/>
          </w:tcPr>
          <w:p w14:paraId="60306DC9" w14:textId="25F156AA" w:rsidR="001A6106" w:rsidRPr="00244A2A" w:rsidRDefault="00244A2A" w:rsidP="00F42BDB">
            <w:pPr>
              <w:jc w:val="center"/>
              <w:rPr>
                <w:sz w:val="20"/>
                <w:szCs w:val="20"/>
              </w:rPr>
            </w:pPr>
            <w:r w:rsidRPr="00244A2A">
              <w:rPr>
                <w:sz w:val="20"/>
                <w:szCs w:val="20"/>
              </w:rPr>
              <w:t>45.5</w:t>
            </w:r>
          </w:p>
        </w:tc>
        <w:tc>
          <w:tcPr>
            <w:tcW w:w="2593" w:type="dxa"/>
            <w:shd w:val="clear" w:color="auto" w:fill="auto"/>
          </w:tcPr>
          <w:p w14:paraId="3CF0B2D4" w14:textId="77777777" w:rsidR="001A6106" w:rsidRPr="00244A2A" w:rsidRDefault="00244A2A" w:rsidP="00F42BDB">
            <w:pPr>
              <w:jc w:val="center"/>
              <w:rPr>
                <w:sz w:val="20"/>
                <w:szCs w:val="20"/>
              </w:rPr>
            </w:pPr>
            <w:r w:rsidRPr="00244A2A">
              <w:rPr>
                <w:sz w:val="20"/>
                <w:szCs w:val="20"/>
              </w:rPr>
              <w:t>40-50</w:t>
            </w:r>
          </w:p>
        </w:tc>
      </w:tr>
      <w:tr w:rsidR="00FF1560" w14:paraId="50C4D645" w14:textId="77777777" w:rsidTr="00F42BDB">
        <w:tc>
          <w:tcPr>
            <w:tcW w:w="3081" w:type="dxa"/>
            <w:shd w:val="clear" w:color="auto" w:fill="auto"/>
          </w:tcPr>
          <w:p w14:paraId="72907E7F" w14:textId="77777777" w:rsidR="001A6106" w:rsidRPr="00244A2A" w:rsidRDefault="00244A2A" w:rsidP="00F42BDB">
            <w:pPr>
              <w:rPr>
                <w:sz w:val="20"/>
                <w:szCs w:val="20"/>
              </w:rPr>
            </w:pPr>
            <w:r w:rsidRPr="00244A2A">
              <w:rPr>
                <w:sz w:val="20"/>
                <w:szCs w:val="20"/>
              </w:rPr>
              <w:t>Private Equity</w:t>
            </w:r>
          </w:p>
        </w:tc>
        <w:tc>
          <w:tcPr>
            <w:tcW w:w="3081" w:type="dxa"/>
            <w:shd w:val="clear" w:color="auto" w:fill="auto"/>
          </w:tcPr>
          <w:p w14:paraId="2C51CE31" w14:textId="77777777" w:rsidR="001A6106" w:rsidRPr="00244A2A" w:rsidRDefault="00244A2A" w:rsidP="00F42BDB">
            <w:pPr>
              <w:jc w:val="center"/>
              <w:rPr>
                <w:sz w:val="20"/>
                <w:szCs w:val="20"/>
              </w:rPr>
            </w:pPr>
            <w:r w:rsidRPr="00244A2A">
              <w:rPr>
                <w:sz w:val="20"/>
                <w:szCs w:val="20"/>
              </w:rPr>
              <w:t>5.0</w:t>
            </w:r>
          </w:p>
        </w:tc>
        <w:tc>
          <w:tcPr>
            <w:tcW w:w="2593" w:type="dxa"/>
            <w:shd w:val="clear" w:color="auto" w:fill="auto"/>
          </w:tcPr>
          <w:p w14:paraId="595FF19C" w14:textId="77777777" w:rsidR="001A6106" w:rsidRPr="00244A2A" w:rsidRDefault="00244A2A" w:rsidP="00F42BDB">
            <w:pPr>
              <w:jc w:val="center"/>
              <w:rPr>
                <w:sz w:val="20"/>
                <w:szCs w:val="20"/>
              </w:rPr>
            </w:pPr>
            <w:r w:rsidRPr="00244A2A">
              <w:rPr>
                <w:sz w:val="20"/>
                <w:szCs w:val="20"/>
              </w:rPr>
              <w:t>0-10</w:t>
            </w:r>
          </w:p>
        </w:tc>
      </w:tr>
      <w:tr w:rsidR="00FF1560" w14:paraId="50E6A157" w14:textId="77777777" w:rsidTr="00F42BDB">
        <w:tc>
          <w:tcPr>
            <w:tcW w:w="3081" w:type="dxa"/>
            <w:shd w:val="clear" w:color="auto" w:fill="auto"/>
          </w:tcPr>
          <w:p w14:paraId="2A5D04C9" w14:textId="77777777" w:rsidR="001A6106" w:rsidRPr="00244A2A" w:rsidRDefault="00244A2A" w:rsidP="00F42BDB">
            <w:pPr>
              <w:rPr>
                <w:sz w:val="20"/>
                <w:szCs w:val="20"/>
              </w:rPr>
            </w:pPr>
            <w:r w:rsidRPr="00244A2A">
              <w:rPr>
                <w:sz w:val="20"/>
                <w:szCs w:val="20"/>
              </w:rPr>
              <w:t>Fixed Income</w:t>
            </w:r>
          </w:p>
        </w:tc>
        <w:tc>
          <w:tcPr>
            <w:tcW w:w="3081" w:type="dxa"/>
            <w:shd w:val="clear" w:color="auto" w:fill="auto"/>
          </w:tcPr>
          <w:p w14:paraId="4D8D6630" w14:textId="77777777" w:rsidR="001A6106" w:rsidRPr="00244A2A" w:rsidRDefault="00244A2A" w:rsidP="00F42BDB">
            <w:pPr>
              <w:jc w:val="center"/>
              <w:rPr>
                <w:sz w:val="20"/>
                <w:szCs w:val="20"/>
              </w:rPr>
            </w:pPr>
            <w:r w:rsidRPr="00244A2A">
              <w:rPr>
                <w:sz w:val="20"/>
                <w:szCs w:val="20"/>
              </w:rPr>
              <w:t>1.5</w:t>
            </w:r>
          </w:p>
        </w:tc>
        <w:tc>
          <w:tcPr>
            <w:tcW w:w="2593" w:type="dxa"/>
            <w:shd w:val="clear" w:color="auto" w:fill="auto"/>
          </w:tcPr>
          <w:p w14:paraId="4496311B" w14:textId="77777777" w:rsidR="001A6106" w:rsidRPr="00244A2A" w:rsidRDefault="00244A2A" w:rsidP="00F42BDB">
            <w:pPr>
              <w:jc w:val="center"/>
              <w:rPr>
                <w:sz w:val="20"/>
                <w:szCs w:val="20"/>
              </w:rPr>
            </w:pPr>
            <w:r w:rsidRPr="00244A2A">
              <w:rPr>
                <w:sz w:val="20"/>
                <w:szCs w:val="20"/>
              </w:rPr>
              <w:t>0-5</w:t>
            </w:r>
          </w:p>
        </w:tc>
      </w:tr>
      <w:tr w:rsidR="00FF1560" w14:paraId="3B2A9BFC" w14:textId="77777777" w:rsidTr="00F42BDB">
        <w:tc>
          <w:tcPr>
            <w:tcW w:w="3081" w:type="dxa"/>
            <w:shd w:val="clear" w:color="auto" w:fill="auto"/>
          </w:tcPr>
          <w:p w14:paraId="3AC859DA" w14:textId="77777777" w:rsidR="001A6106" w:rsidRPr="00244A2A" w:rsidRDefault="00244A2A" w:rsidP="00F42BDB">
            <w:pPr>
              <w:rPr>
                <w:sz w:val="20"/>
                <w:szCs w:val="20"/>
              </w:rPr>
            </w:pPr>
            <w:r w:rsidRPr="00244A2A">
              <w:rPr>
                <w:sz w:val="20"/>
                <w:szCs w:val="20"/>
              </w:rPr>
              <w:t>Credit</w:t>
            </w:r>
          </w:p>
        </w:tc>
        <w:tc>
          <w:tcPr>
            <w:tcW w:w="3081" w:type="dxa"/>
            <w:shd w:val="clear" w:color="auto" w:fill="auto"/>
          </w:tcPr>
          <w:p w14:paraId="332BD278" w14:textId="36968742" w:rsidR="001A6106" w:rsidRPr="00244A2A" w:rsidRDefault="00244A2A" w:rsidP="00F42BDB">
            <w:pPr>
              <w:jc w:val="center"/>
              <w:rPr>
                <w:sz w:val="20"/>
                <w:szCs w:val="20"/>
              </w:rPr>
            </w:pPr>
            <w:r w:rsidRPr="00244A2A">
              <w:rPr>
                <w:sz w:val="20"/>
                <w:szCs w:val="20"/>
              </w:rPr>
              <w:t>18.0</w:t>
            </w:r>
          </w:p>
        </w:tc>
        <w:tc>
          <w:tcPr>
            <w:tcW w:w="2593" w:type="dxa"/>
            <w:shd w:val="clear" w:color="auto" w:fill="auto"/>
          </w:tcPr>
          <w:p w14:paraId="33360A01" w14:textId="77777777" w:rsidR="001A6106" w:rsidRPr="00244A2A" w:rsidRDefault="00244A2A" w:rsidP="00F42BDB">
            <w:pPr>
              <w:jc w:val="center"/>
              <w:rPr>
                <w:sz w:val="20"/>
                <w:szCs w:val="20"/>
              </w:rPr>
            </w:pPr>
            <w:r w:rsidRPr="00244A2A">
              <w:rPr>
                <w:sz w:val="20"/>
                <w:szCs w:val="20"/>
              </w:rPr>
              <w:t>12.5-22.5</w:t>
            </w:r>
          </w:p>
        </w:tc>
      </w:tr>
      <w:tr w:rsidR="00FF1560" w14:paraId="2FC59344" w14:textId="77777777" w:rsidTr="00F42BDB">
        <w:tc>
          <w:tcPr>
            <w:tcW w:w="3081" w:type="dxa"/>
            <w:shd w:val="clear" w:color="auto" w:fill="auto"/>
          </w:tcPr>
          <w:p w14:paraId="6CAEE14B" w14:textId="77777777" w:rsidR="001A6106" w:rsidRPr="00244A2A" w:rsidRDefault="00244A2A" w:rsidP="00F42BDB">
            <w:pPr>
              <w:rPr>
                <w:sz w:val="20"/>
                <w:szCs w:val="20"/>
              </w:rPr>
            </w:pPr>
            <w:r w:rsidRPr="00244A2A">
              <w:rPr>
                <w:sz w:val="20"/>
                <w:szCs w:val="20"/>
              </w:rPr>
              <w:t>Real Estate</w:t>
            </w:r>
          </w:p>
        </w:tc>
        <w:tc>
          <w:tcPr>
            <w:tcW w:w="3081" w:type="dxa"/>
            <w:shd w:val="clear" w:color="auto" w:fill="auto"/>
          </w:tcPr>
          <w:p w14:paraId="0C05F6C8" w14:textId="77777777" w:rsidR="001A6106" w:rsidRPr="00244A2A" w:rsidRDefault="00244A2A" w:rsidP="00F42BDB">
            <w:pPr>
              <w:jc w:val="center"/>
              <w:rPr>
                <w:sz w:val="20"/>
                <w:szCs w:val="20"/>
              </w:rPr>
            </w:pPr>
            <w:r w:rsidRPr="00244A2A">
              <w:rPr>
                <w:sz w:val="20"/>
                <w:szCs w:val="20"/>
              </w:rPr>
              <w:t>12.5</w:t>
            </w:r>
          </w:p>
        </w:tc>
        <w:tc>
          <w:tcPr>
            <w:tcW w:w="2593" w:type="dxa"/>
            <w:shd w:val="clear" w:color="auto" w:fill="auto"/>
          </w:tcPr>
          <w:p w14:paraId="5BD905EF" w14:textId="77777777" w:rsidR="001A6106" w:rsidRPr="00244A2A" w:rsidRDefault="00244A2A" w:rsidP="00F42BDB">
            <w:pPr>
              <w:jc w:val="center"/>
              <w:rPr>
                <w:sz w:val="20"/>
                <w:szCs w:val="20"/>
              </w:rPr>
            </w:pPr>
            <w:r w:rsidRPr="00244A2A">
              <w:rPr>
                <w:sz w:val="20"/>
                <w:szCs w:val="20"/>
              </w:rPr>
              <w:t>7.5-17.5</w:t>
            </w:r>
          </w:p>
        </w:tc>
      </w:tr>
      <w:tr w:rsidR="00FF1560" w14:paraId="6CA2B9A6" w14:textId="77777777" w:rsidTr="00F42BDB">
        <w:tc>
          <w:tcPr>
            <w:tcW w:w="3081" w:type="dxa"/>
            <w:shd w:val="clear" w:color="auto" w:fill="auto"/>
          </w:tcPr>
          <w:p w14:paraId="6B609CEA" w14:textId="77777777" w:rsidR="001A6106" w:rsidRPr="00244A2A" w:rsidRDefault="00244A2A" w:rsidP="00F42BDB">
            <w:pPr>
              <w:rPr>
                <w:sz w:val="20"/>
                <w:szCs w:val="20"/>
              </w:rPr>
            </w:pPr>
            <w:r w:rsidRPr="00244A2A">
              <w:rPr>
                <w:sz w:val="20"/>
                <w:szCs w:val="20"/>
              </w:rPr>
              <w:t>Infrastructure</w:t>
            </w:r>
          </w:p>
        </w:tc>
        <w:tc>
          <w:tcPr>
            <w:tcW w:w="3081" w:type="dxa"/>
            <w:shd w:val="clear" w:color="auto" w:fill="auto"/>
          </w:tcPr>
          <w:p w14:paraId="7470B81D" w14:textId="47CFBE1A" w:rsidR="001A6106" w:rsidRPr="00244A2A" w:rsidRDefault="00244A2A" w:rsidP="00F42BDB">
            <w:pPr>
              <w:jc w:val="center"/>
              <w:rPr>
                <w:sz w:val="20"/>
                <w:szCs w:val="20"/>
              </w:rPr>
            </w:pPr>
            <w:r w:rsidRPr="00244A2A">
              <w:rPr>
                <w:sz w:val="20"/>
                <w:szCs w:val="20"/>
              </w:rPr>
              <w:t>16.0</w:t>
            </w:r>
          </w:p>
        </w:tc>
        <w:tc>
          <w:tcPr>
            <w:tcW w:w="2593" w:type="dxa"/>
            <w:shd w:val="clear" w:color="auto" w:fill="auto"/>
          </w:tcPr>
          <w:p w14:paraId="23541B29" w14:textId="77777777" w:rsidR="001A6106" w:rsidRPr="00244A2A" w:rsidRDefault="00244A2A" w:rsidP="00F42BDB">
            <w:pPr>
              <w:jc w:val="center"/>
              <w:rPr>
                <w:sz w:val="20"/>
                <w:szCs w:val="20"/>
              </w:rPr>
            </w:pPr>
            <w:r w:rsidRPr="00244A2A">
              <w:rPr>
                <w:sz w:val="20"/>
                <w:szCs w:val="20"/>
              </w:rPr>
              <w:t>10-20</w:t>
            </w:r>
          </w:p>
        </w:tc>
      </w:tr>
      <w:tr w:rsidR="00FF1560" w14:paraId="73B04612" w14:textId="77777777" w:rsidTr="00F42BDB">
        <w:tc>
          <w:tcPr>
            <w:tcW w:w="3081" w:type="dxa"/>
            <w:shd w:val="clear" w:color="auto" w:fill="auto"/>
          </w:tcPr>
          <w:p w14:paraId="39B919A1" w14:textId="77777777" w:rsidR="001A6106" w:rsidRPr="00244A2A" w:rsidRDefault="00244A2A" w:rsidP="00F42BDB">
            <w:pPr>
              <w:rPr>
                <w:sz w:val="20"/>
                <w:szCs w:val="20"/>
              </w:rPr>
            </w:pPr>
            <w:r w:rsidRPr="00244A2A">
              <w:rPr>
                <w:sz w:val="20"/>
                <w:szCs w:val="20"/>
              </w:rPr>
              <w:t>Diversifying strategies</w:t>
            </w:r>
          </w:p>
        </w:tc>
        <w:tc>
          <w:tcPr>
            <w:tcW w:w="3081" w:type="dxa"/>
            <w:shd w:val="clear" w:color="auto" w:fill="auto"/>
          </w:tcPr>
          <w:p w14:paraId="0D1906F0" w14:textId="77777777" w:rsidR="001A6106" w:rsidRPr="00244A2A" w:rsidRDefault="00244A2A" w:rsidP="00F42BDB">
            <w:pPr>
              <w:jc w:val="center"/>
              <w:rPr>
                <w:sz w:val="20"/>
                <w:szCs w:val="20"/>
              </w:rPr>
            </w:pPr>
            <w:r w:rsidRPr="00244A2A">
              <w:rPr>
                <w:sz w:val="20"/>
                <w:szCs w:val="20"/>
              </w:rPr>
              <w:t>0.0</w:t>
            </w:r>
          </w:p>
        </w:tc>
        <w:tc>
          <w:tcPr>
            <w:tcW w:w="2593" w:type="dxa"/>
            <w:shd w:val="clear" w:color="auto" w:fill="auto"/>
          </w:tcPr>
          <w:p w14:paraId="142BE9AD" w14:textId="77777777" w:rsidR="001A6106" w:rsidRPr="00244A2A" w:rsidRDefault="00244A2A" w:rsidP="00F42BDB">
            <w:pPr>
              <w:jc w:val="center"/>
              <w:rPr>
                <w:sz w:val="20"/>
                <w:szCs w:val="20"/>
              </w:rPr>
            </w:pPr>
            <w:r w:rsidRPr="00244A2A">
              <w:rPr>
                <w:sz w:val="20"/>
                <w:szCs w:val="20"/>
              </w:rPr>
              <w:t>0-5</w:t>
            </w:r>
          </w:p>
        </w:tc>
      </w:tr>
      <w:tr w:rsidR="00FF1560" w14:paraId="5D49B64C" w14:textId="77777777" w:rsidTr="00F42BDB">
        <w:tc>
          <w:tcPr>
            <w:tcW w:w="3081" w:type="dxa"/>
            <w:shd w:val="clear" w:color="auto" w:fill="auto"/>
          </w:tcPr>
          <w:p w14:paraId="4C7D1188" w14:textId="77777777" w:rsidR="001A6106" w:rsidRPr="00244A2A" w:rsidRDefault="00244A2A" w:rsidP="00F42BDB">
            <w:pPr>
              <w:rPr>
                <w:sz w:val="20"/>
                <w:szCs w:val="20"/>
              </w:rPr>
            </w:pPr>
            <w:r w:rsidRPr="00244A2A">
              <w:rPr>
                <w:sz w:val="20"/>
                <w:szCs w:val="20"/>
              </w:rPr>
              <w:t>Cash</w:t>
            </w:r>
          </w:p>
        </w:tc>
        <w:tc>
          <w:tcPr>
            <w:tcW w:w="3081" w:type="dxa"/>
            <w:shd w:val="clear" w:color="auto" w:fill="auto"/>
          </w:tcPr>
          <w:p w14:paraId="751664F2" w14:textId="77777777" w:rsidR="001A6106" w:rsidRPr="00244A2A" w:rsidRDefault="00244A2A" w:rsidP="00F42BDB">
            <w:pPr>
              <w:jc w:val="center"/>
              <w:rPr>
                <w:sz w:val="20"/>
                <w:szCs w:val="20"/>
              </w:rPr>
            </w:pPr>
            <w:r w:rsidRPr="00244A2A">
              <w:rPr>
                <w:sz w:val="20"/>
                <w:szCs w:val="20"/>
              </w:rPr>
              <w:t>1.5</w:t>
            </w:r>
          </w:p>
        </w:tc>
        <w:tc>
          <w:tcPr>
            <w:tcW w:w="2593" w:type="dxa"/>
            <w:shd w:val="clear" w:color="auto" w:fill="auto"/>
          </w:tcPr>
          <w:p w14:paraId="772B903F" w14:textId="77777777" w:rsidR="001A6106" w:rsidRPr="00244A2A" w:rsidRDefault="00244A2A" w:rsidP="00F42BDB">
            <w:pPr>
              <w:jc w:val="center"/>
              <w:rPr>
                <w:sz w:val="20"/>
                <w:szCs w:val="20"/>
              </w:rPr>
            </w:pPr>
            <w:r w:rsidRPr="00244A2A">
              <w:rPr>
                <w:sz w:val="20"/>
                <w:szCs w:val="20"/>
              </w:rPr>
              <w:t>0-5</w:t>
            </w:r>
          </w:p>
        </w:tc>
      </w:tr>
      <w:tr w:rsidR="00FF1560" w14:paraId="15741E49" w14:textId="77777777" w:rsidTr="00F42BDB">
        <w:tc>
          <w:tcPr>
            <w:tcW w:w="3081" w:type="dxa"/>
            <w:shd w:val="clear" w:color="auto" w:fill="auto"/>
          </w:tcPr>
          <w:p w14:paraId="6FE373B9" w14:textId="77777777" w:rsidR="001A6106" w:rsidRPr="00244A2A" w:rsidRDefault="00244A2A" w:rsidP="00F42BDB">
            <w:pPr>
              <w:rPr>
                <w:b/>
                <w:sz w:val="20"/>
                <w:szCs w:val="20"/>
              </w:rPr>
            </w:pPr>
            <w:r w:rsidRPr="00244A2A">
              <w:rPr>
                <w:b/>
                <w:sz w:val="20"/>
                <w:szCs w:val="20"/>
              </w:rPr>
              <w:t>Total</w:t>
            </w:r>
          </w:p>
        </w:tc>
        <w:tc>
          <w:tcPr>
            <w:tcW w:w="3081" w:type="dxa"/>
            <w:shd w:val="clear" w:color="auto" w:fill="auto"/>
          </w:tcPr>
          <w:p w14:paraId="03DB728D" w14:textId="77777777" w:rsidR="001A6106" w:rsidRPr="00244A2A" w:rsidRDefault="00244A2A" w:rsidP="00F42BDB">
            <w:pPr>
              <w:jc w:val="center"/>
              <w:rPr>
                <w:b/>
                <w:sz w:val="20"/>
                <w:szCs w:val="20"/>
              </w:rPr>
            </w:pPr>
            <w:r w:rsidRPr="00244A2A">
              <w:rPr>
                <w:b/>
                <w:sz w:val="20"/>
                <w:szCs w:val="20"/>
              </w:rPr>
              <w:t>100.0</w:t>
            </w:r>
          </w:p>
        </w:tc>
        <w:tc>
          <w:tcPr>
            <w:tcW w:w="2593" w:type="dxa"/>
            <w:shd w:val="clear" w:color="auto" w:fill="auto"/>
          </w:tcPr>
          <w:p w14:paraId="14C645E5" w14:textId="77777777" w:rsidR="001A6106" w:rsidRPr="00244A2A" w:rsidRDefault="00540554" w:rsidP="00F42BDB">
            <w:pPr>
              <w:jc w:val="center"/>
              <w:rPr>
                <w:sz w:val="20"/>
                <w:szCs w:val="20"/>
              </w:rPr>
            </w:pPr>
          </w:p>
        </w:tc>
      </w:tr>
    </w:tbl>
    <w:p w14:paraId="22BAA3EC" w14:textId="77777777" w:rsidR="001A6106" w:rsidRPr="007C3632" w:rsidRDefault="00540554" w:rsidP="001A6106">
      <w:pPr>
        <w:jc w:val="center"/>
        <w:rPr>
          <w:rFonts w:cs="Arial"/>
        </w:rPr>
      </w:pPr>
    </w:p>
    <w:p w14:paraId="6D2F608F" w14:textId="77777777" w:rsidR="001A6106" w:rsidRDefault="00244A2A" w:rsidP="001A6106">
      <w:pPr>
        <w:jc w:val="both"/>
        <w:rPr>
          <w:rFonts w:cs="Arial"/>
        </w:rPr>
      </w:pPr>
      <w:r w:rsidRPr="007C3632">
        <w:rPr>
          <w:rFonts w:cs="Arial"/>
        </w:rPr>
        <w:t xml:space="preserve">Each asset class has its own specific investment objective </w:t>
      </w:r>
      <w:r>
        <w:rPr>
          <w:rFonts w:cs="Arial"/>
        </w:rPr>
        <w:t xml:space="preserve">(benchmark and investment performance target) </w:t>
      </w:r>
      <w:r w:rsidRPr="007C3632">
        <w:rPr>
          <w:rFonts w:cs="Arial"/>
        </w:rPr>
        <w:t xml:space="preserve">and within each asset class there are further diversification controls. </w:t>
      </w:r>
    </w:p>
    <w:p w14:paraId="4D984742" w14:textId="77777777" w:rsidR="001A6106" w:rsidRDefault="00540554" w:rsidP="001A6106">
      <w:pPr>
        <w:jc w:val="both"/>
        <w:rPr>
          <w:rFonts w:cs="Arial"/>
          <w:b/>
          <w:u w:val="single"/>
        </w:rPr>
      </w:pPr>
    </w:p>
    <w:p w14:paraId="65F28BD0" w14:textId="77777777" w:rsidR="001A6106" w:rsidRDefault="00244A2A" w:rsidP="001A6106">
      <w:pPr>
        <w:jc w:val="both"/>
        <w:rPr>
          <w:rFonts w:cs="Arial"/>
        </w:rPr>
      </w:pPr>
      <w:r w:rsidRPr="0097357D">
        <w:rPr>
          <w:rFonts w:cs="Arial"/>
          <w:b/>
        </w:rPr>
        <w:t>Global Equities</w:t>
      </w:r>
      <w:r>
        <w:rPr>
          <w:rFonts w:cs="Arial"/>
          <w:b/>
        </w:rPr>
        <w:t xml:space="preserve"> - </w:t>
      </w:r>
      <w:r w:rsidRPr="007C3632">
        <w:rPr>
          <w:rFonts w:cs="Arial"/>
        </w:rPr>
        <w:t xml:space="preserve">The objective is to outperform the MSCI All Country World, net dividends reinvested, GBP Index over the full market cycle which is considered to be at least seven years (the “Benchmark”). </w:t>
      </w:r>
      <w:r>
        <w:rPr>
          <w:rFonts w:cs="Arial"/>
        </w:rPr>
        <w:t>E</w:t>
      </w:r>
      <w:r w:rsidRPr="007C3632">
        <w:rPr>
          <w:rFonts w:cs="Arial"/>
        </w:rPr>
        <w:t xml:space="preserve">quity investments are made via </w:t>
      </w:r>
      <w:r>
        <w:rPr>
          <w:rFonts w:cs="Arial"/>
        </w:rPr>
        <w:t>LPP I</w:t>
      </w:r>
      <w:r w:rsidRPr="007C3632">
        <w:rPr>
          <w:rFonts w:cs="Arial"/>
        </w:rPr>
        <w:t xml:space="preserve">, by investing in underlying funds which may be managed by </w:t>
      </w:r>
      <w:r>
        <w:rPr>
          <w:rFonts w:cs="Arial"/>
        </w:rPr>
        <w:t>LPP I</w:t>
      </w:r>
      <w:r w:rsidRPr="007C3632">
        <w:rPr>
          <w:rFonts w:cs="Arial"/>
        </w:rPr>
        <w:t xml:space="preserve"> (“Internal Mandates”), or by external third parties (“External Mandates”).</w:t>
      </w:r>
    </w:p>
    <w:p w14:paraId="24EA866D" w14:textId="77777777" w:rsidR="00B23A81" w:rsidRPr="007C3632" w:rsidRDefault="00540554" w:rsidP="001A6106">
      <w:pPr>
        <w:jc w:val="both"/>
        <w:rPr>
          <w:rFonts w:cs="Arial"/>
        </w:rPr>
      </w:pPr>
    </w:p>
    <w:p w14:paraId="5433D199" w14:textId="77777777" w:rsidR="001A6106" w:rsidRPr="007C3632" w:rsidRDefault="00244A2A" w:rsidP="001A6106">
      <w:pPr>
        <w:jc w:val="both"/>
        <w:rPr>
          <w:rFonts w:cs="Arial"/>
        </w:rPr>
      </w:pPr>
      <w:r w:rsidRPr="0097357D">
        <w:rPr>
          <w:rFonts w:cs="Arial"/>
          <w:b/>
        </w:rPr>
        <w:t>Private Equity</w:t>
      </w:r>
      <w:r>
        <w:rPr>
          <w:rFonts w:cs="Arial"/>
          <w:b/>
        </w:rPr>
        <w:t xml:space="preserve"> - </w:t>
      </w:r>
      <w:r w:rsidRPr="007C3632">
        <w:rPr>
          <w:rFonts w:cs="Arial"/>
        </w:rPr>
        <w:t>The objective is to outperform the MSCI World</w:t>
      </w:r>
      <w:r>
        <w:rPr>
          <w:rFonts w:cs="Arial"/>
        </w:rPr>
        <w:t xml:space="preserve"> SMID</w:t>
      </w:r>
      <w:r w:rsidRPr="007C3632">
        <w:rPr>
          <w:rFonts w:cs="Arial"/>
        </w:rPr>
        <w:t xml:space="preserve">, net dividends reinvested, in GBP Index and provide investors with access to attractive private equity opportunities. All new investments will include, but not be limited to the following sectors: Buyout, Venture Capital, Growth Equity, Special Situations/Distressed and Upstream Energy. </w:t>
      </w:r>
    </w:p>
    <w:p w14:paraId="62FCB7CB" w14:textId="77777777" w:rsidR="00B23A81" w:rsidRDefault="00540554" w:rsidP="001A6106">
      <w:pPr>
        <w:jc w:val="both"/>
        <w:rPr>
          <w:rFonts w:cs="Arial"/>
          <w:b/>
        </w:rPr>
      </w:pPr>
    </w:p>
    <w:p w14:paraId="1423BF17" w14:textId="77777777" w:rsidR="001A6106" w:rsidRDefault="00244A2A" w:rsidP="001A6106">
      <w:pPr>
        <w:jc w:val="both"/>
        <w:rPr>
          <w:rFonts w:cs="Arial"/>
        </w:rPr>
      </w:pPr>
      <w:r>
        <w:rPr>
          <w:rFonts w:cs="Arial"/>
          <w:b/>
        </w:rPr>
        <w:t xml:space="preserve">Real Estate - </w:t>
      </w:r>
      <w:r w:rsidRPr="007C3632">
        <w:rPr>
          <w:rFonts w:cs="Arial"/>
        </w:rPr>
        <w:t xml:space="preserve">The objective is to gain cost effective, diversified exposure to UK and international property assets that meet its investment objectives: to generate a return in excess of </w:t>
      </w:r>
      <w:r>
        <w:rPr>
          <w:rFonts w:cs="Arial"/>
        </w:rPr>
        <w:t>UK CPI inflation</w:t>
      </w:r>
      <w:r w:rsidRPr="007C3632">
        <w:rPr>
          <w:rFonts w:cs="Arial"/>
        </w:rPr>
        <w:t>; earn predictable cash flows; and provide a partial hedge against inflation. The largest exposure of the portfolio will be to traditional sectors of the UK commercial real estate market. A smaller allocation will be made to value-added and opportunistic investments.</w:t>
      </w:r>
      <w:r>
        <w:rPr>
          <w:rFonts w:cs="Arial"/>
        </w:rPr>
        <w:t xml:space="preserve"> </w:t>
      </w:r>
      <w:r w:rsidRPr="009B2AA7">
        <w:rPr>
          <w:rFonts w:cs="Arial"/>
        </w:rPr>
        <w:t xml:space="preserve">The benchmark is the </w:t>
      </w:r>
      <w:r>
        <w:rPr>
          <w:rFonts w:cs="Arial"/>
        </w:rPr>
        <w:t>MSCI UK Quarterly Property Index.</w:t>
      </w:r>
    </w:p>
    <w:p w14:paraId="3A668EC0" w14:textId="77777777" w:rsidR="001A6106" w:rsidRDefault="00540554" w:rsidP="001A6106">
      <w:pPr>
        <w:jc w:val="both"/>
        <w:rPr>
          <w:rFonts w:cs="Arial"/>
        </w:rPr>
      </w:pPr>
    </w:p>
    <w:p w14:paraId="5D300FC7" w14:textId="77777777" w:rsidR="001A6106" w:rsidRDefault="00244A2A" w:rsidP="001A6106">
      <w:pPr>
        <w:jc w:val="both"/>
        <w:rPr>
          <w:rFonts w:cs="Arial"/>
        </w:rPr>
      </w:pPr>
      <w:r w:rsidRPr="0097357D">
        <w:rPr>
          <w:rFonts w:cs="Arial"/>
          <w:b/>
        </w:rPr>
        <w:t>Infrastructure</w:t>
      </w:r>
      <w:r>
        <w:rPr>
          <w:rFonts w:cs="Arial"/>
          <w:b/>
        </w:rPr>
        <w:t xml:space="preserve"> - </w:t>
      </w:r>
      <w:r w:rsidRPr="007C3632">
        <w:rPr>
          <w:rFonts w:cs="Arial"/>
        </w:rPr>
        <w:t xml:space="preserve">The objective is to gain cost effective, diversified exposure to global infrastructure assets located predominantly in </w:t>
      </w:r>
      <w:r w:rsidRPr="0047260E">
        <w:rPr>
          <w:rFonts w:cs="Arial"/>
        </w:rPr>
        <w:t>the UK or otherwise in OECD nations.</w:t>
      </w:r>
      <w:r w:rsidRPr="007C3632">
        <w:rPr>
          <w:rFonts w:cs="Arial"/>
        </w:rPr>
        <w:t xml:space="preserve"> These investments seek to generate a satisfactory risk adjusted return; improve diversification; provide predictable cash flows; and indirectly hedge against inflation. </w:t>
      </w:r>
      <w:r>
        <w:rPr>
          <w:rFonts w:cs="Arial"/>
        </w:rPr>
        <w:t>The benchmark is the UK CPI + 4% pa net over a 10 year period</w:t>
      </w:r>
    </w:p>
    <w:p w14:paraId="17DA2DBF" w14:textId="77777777" w:rsidR="001A6106" w:rsidRPr="007C3632" w:rsidRDefault="00540554" w:rsidP="001A6106">
      <w:pPr>
        <w:jc w:val="both"/>
        <w:rPr>
          <w:rFonts w:cs="Arial"/>
        </w:rPr>
      </w:pPr>
    </w:p>
    <w:p w14:paraId="2819B3CF" w14:textId="77777777" w:rsidR="001A6106" w:rsidRPr="007C3632" w:rsidRDefault="00244A2A" w:rsidP="001A6106">
      <w:pPr>
        <w:jc w:val="both"/>
        <w:rPr>
          <w:rFonts w:cs="Arial"/>
        </w:rPr>
      </w:pPr>
      <w:r w:rsidRPr="0097357D">
        <w:rPr>
          <w:rFonts w:cs="Arial"/>
          <w:b/>
        </w:rPr>
        <w:t>Fixed Income</w:t>
      </w:r>
      <w:r>
        <w:rPr>
          <w:rFonts w:cs="Arial"/>
          <w:b/>
        </w:rPr>
        <w:t xml:space="preserve"> - </w:t>
      </w:r>
      <w:r w:rsidRPr="007C3632">
        <w:rPr>
          <w:rFonts w:cs="Arial"/>
        </w:rPr>
        <w:t>The objective is to outperform the</w:t>
      </w:r>
      <w:r>
        <w:rPr>
          <w:rFonts w:cs="Arial"/>
        </w:rPr>
        <w:t xml:space="preserve"> Bloomberg Barclays Global Aggregate (GBP Hedged) Index.  </w:t>
      </w:r>
      <w:r w:rsidRPr="007C3632">
        <w:rPr>
          <w:rFonts w:cs="Arial"/>
        </w:rPr>
        <w:t xml:space="preserve">The LPPI Pool will pursue this aim by investing in underlying funds </w:t>
      </w:r>
      <w:r>
        <w:rPr>
          <w:rFonts w:cs="Arial"/>
        </w:rPr>
        <w:t>which include Internal Mandates and External Mandates.</w:t>
      </w:r>
    </w:p>
    <w:p w14:paraId="7D13C13F" w14:textId="77777777" w:rsidR="001A6106" w:rsidRPr="007C3632" w:rsidRDefault="00540554" w:rsidP="001A6106">
      <w:pPr>
        <w:jc w:val="both"/>
        <w:rPr>
          <w:rFonts w:cs="Arial"/>
        </w:rPr>
      </w:pPr>
    </w:p>
    <w:p w14:paraId="79E97ECD" w14:textId="77777777" w:rsidR="001A6106" w:rsidRPr="009B2AA7" w:rsidRDefault="00244A2A" w:rsidP="001A6106">
      <w:pPr>
        <w:jc w:val="both"/>
        <w:rPr>
          <w:rFonts w:cs="Arial"/>
        </w:rPr>
      </w:pPr>
      <w:r w:rsidRPr="0097357D">
        <w:rPr>
          <w:rFonts w:cs="Arial"/>
          <w:b/>
        </w:rPr>
        <w:t>Credit</w:t>
      </w:r>
      <w:r>
        <w:rPr>
          <w:rFonts w:cs="Arial"/>
          <w:b/>
        </w:rPr>
        <w:t xml:space="preserve"> - </w:t>
      </w:r>
      <w:r w:rsidRPr="007C3632">
        <w:rPr>
          <w:rFonts w:cs="Arial"/>
        </w:rPr>
        <w:t xml:space="preserve">The objective is to gain cost effective exposure to diverse sources of return linked to global credit markets and credit instruments. The </w:t>
      </w:r>
      <w:r>
        <w:rPr>
          <w:rFonts w:cs="Arial"/>
        </w:rPr>
        <w:t>LPP I</w:t>
      </w:r>
      <w:r w:rsidRPr="007C3632">
        <w:rPr>
          <w:rFonts w:cs="Arial"/>
        </w:rPr>
        <w:t xml:space="preserve"> pool will pursue this aim primarily by allocating capital to investment vehicles or pooled funds </w:t>
      </w:r>
      <w:r>
        <w:rPr>
          <w:rFonts w:cs="Arial"/>
        </w:rPr>
        <w:t>which include External Mandates.</w:t>
      </w:r>
      <w:r w:rsidRPr="004121ED">
        <w:rPr>
          <w:rFonts w:cs="Arial"/>
        </w:rPr>
        <w:t xml:space="preserve"> The benchmark is an equally-weighted blended composite consisting of the S&amp;P LSTA Leveraged Loans Index (GBP-Hedged) and the Bloomberg Barclays Multiverse Credit Index in GBP.</w:t>
      </w:r>
    </w:p>
    <w:p w14:paraId="0DB2747D" w14:textId="77777777" w:rsidR="001A6106" w:rsidRPr="007C3632" w:rsidRDefault="00540554" w:rsidP="001A6106">
      <w:pPr>
        <w:jc w:val="both"/>
        <w:rPr>
          <w:rFonts w:cs="Arial"/>
        </w:rPr>
      </w:pPr>
    </w:p>
    <w:p w14:paraId="122B9630" w14:textId="60E11CEB" w:rsidR="001A6106" w:rsidRDefault="00244A2A" w:rsidP="001A6106">
      <w:pPr>
        <w:jc w:val="both"/>
        <w:rPr>
          <w:rFonts w:cs="Arial"/>
        </w:rPr>
      </w:pPr>
      <w:r>
        <w:rPr>
          <w:rFonts w:cs="Arial"/>
          <w:b/>
        </w:rPr>
        <w:t xml:space="preserve">Diversifying Strategies - </w:t>
      </w:r>
      <w:r w:rsidRPr="007C3632">
        <w:rPr>
          <w:rFonts w:cs="Arial"/>
        </w:rPr>
        <w:t xml:space="preserve">The </w:t>
      </w:r>
      <w:r>
        <w:rPr>
          <w:rFonts w:cs="Arial"/>
        </w:rPr>
        <w:t>objective is</w:t>
      </w:r>
      <w:r w:rsidRPr="007C3632">
        <w:rPr>
          <w:rFonts w:cs="Arial"/>
        </w:rPr>
        <w:t xml:space="preserve"> to gain cost effective exposure to diversifying sources of return distinct from global equity beta and bond duration. The LPP</w:t>
      </w:r>
      <w:r>
        <w:rPr>
          <w:rFonts w:cs="Arial"/>
        </w:rPr>
        <w:t xml:space="preserve"> </w:t>
      </w:r>
      <w:r w:rsidRPr="007C3632">
        <w:rPr>
          <w:rFonts w:cs="Arial"/>
        </w:rPr>
        <w:t>I pool will pursue this aim primarily by allocating capital to investment strategies</w:t>
      </w:r>
      <w:r>
        <w:rPr>
          <w:rFonts w:cs="Arial"/>
        </w:rPr>
        <w:t xml:space="preserve"> which include External Mandates.</w:t>
      </w:r>
      <w:r w:rsidRPr="007C3632">
        <w:rPr>
          <w:rFonts w:cs="Arial"/>
        </w:rPr>
        <w:t xml:space="preserve"> </w:t>
      </w:r>
      <w:r>
        <w:rPr>
          <w:rFonts w:cs="Arial"/>
        </w:rPr>
        <w:t>The benchmark is the HFRI Fund of Funds Conservative (GBP-Hedged) Index.</w:t>
      </w:r>
    </w:p>
    <w:p w14:paraId="371F3A97" w14:textId="77777777" w:rsidR="00244A2A" w:rsidRPr="007C3632" w:rsidRDefault="00244A2A" w:rsidP="001A6106">
      <w:pPr>
        <w:jc w:val="both"/>
        <w:rPr>
          <w:rFonts w:cs="Arial"/>
        </w:rPr>
      </w:pPr>
    </w:p>
    <w:p w14:paraId="3FF3AB4B" w14:textId="77777777" w:rsidR="001A6106" w:rsidRDefault="00244A2A" w:rsidP="001A6106">
      <w:pPr>
        <w:jc w:val="both"/>
        <w:rPr>
          <w:rFonts w:cs="Arial"/>
        </w:rPr>
      </w:pPr>
      <w:r w:rsidRPr="0097357D">
        <w:rPr>
          <w:rFonts w:cs="Arial"/>
          <w:b/>
        </w:rPr>
        <w:t>Cash</w:t>
      </w:r>
      <w:r>
        <w:rPr>
          <w:rFonts w:cs="Arial"/>
          <w:b/>
        </w:rPr>
        <w:t xml:space="preserve"> - </w:t>
      </w:r>
      <w:r>
        <w:rPr>
          <w:rFonts w:cs="Arial"/>
        </w:rPr>
        <w:t xml:space="preserve">Cash is managed at the Fund level by LCC until needed or drawn by LPP I for investment purposes.  </w:t>
      </w:r>
      <w:r w:rsidRPr="007C3632">
        <w:rPr>
          <w:rFonts w:cs="Arial"/>
        </w:rPr>
        <w:t>The benchmark is 1 month GBP LIBOR.</w:t>
      </w:r>
    </w:p>
    <w:p w14:paraId="01FF3AF6" w14:textId="77777777" w:rsidR="001A6106" w:rsidRDefault="00540554" w:rsidP="001A6106">
      <w:pPr>
        <w:jc w:val="both"/>
        <w:rPr>
          <w:rFonts w:cs="Arial"/>
        </w:rPr>
      </w:pPr>
    </w:p>
    <w:p w14:paraId="37859342" w14:textId="1F747167" w:rsidR="001A6106" w:rsidRDefault="00244A2A" w:rsidP="001A6106">
      <w:pPr>
        <w:jc w:val="both"/>
        <w:rPr>
          <w:rFonts w:cs="Arial"/>
          <w:b/>
        </w:rPr>
      </w:pPr>
      <w:r>
        <w:rPr>
          <w:rFonts w:cs="Arial"/>
          <w:b/>
        </w:rPr>
        <w:t xml:space="preserve">5. </w:t>
      </w:r>
      <w:r w:rsidRPr="007C3632">
        <w:rPr>
          <w:rFonts w:cs="Arial"/>
          <w:b/>
        </w:rPr>
        <w:t>Risk Management</w:t>
      </w:r>
    </w:p>
    <w:p w14:paraId="512F4998" w14:textId="77777777" w:rsidR="00244A2A" w:rsidRDefault="00244A2A" w:rsidP="001A6106">
      <w:pPr>
        <w:jc w:val="both"/>
        <w:rPr>
          <w:rFonts w:cs="Arial"/>
          <w:b/>
        </w:rPr>
      </w:pPr>
    </w:p>
    <w:p w14:paraId="34ECEE37" w14:textId="77777777" w:rsidR="001A6106" w:rsidRPr="000A35BD" w:rsidRDefault="00244A2A" w:rsidP="001A6106">
      <w:pPr>
        <w:jc w:val="both"/>
        <w:rPr>
          <w:rFonts w:cs="Arial"/>
        </w:rPr>
      </w:pPr>
      <w:r w:rsidRPr="00D26C86">
        <w:rPr>
          <w:rFonts w:cs="Arial"/>
        </w:rPr>
        <w:t xml:space="preserve">The overriding objective of the Fund in respect of its investments is to maximise return within an acceptable and understood </w:t>
      </w:r>
      <w:r w:rsidRPr="000A35BD">
        <w:rPr>
          <w:rFonts w:cs="Arial"/>
        </w:rPr>
        <w:t>level of risk.</w:t>
      </w:r>
    </w:p>
    <w:p w14:paraId="007B77F2" w14:textId="77777777" w:rsidR="001A6106" w:rsidRPr="000A35BD" w:rsidRDefault="00540554" w:rsidP="001A6106">
      <w:pPr>
        <w:jc w:val="both"/>
        <w:rPr>
          <w:rFonts w:cs="Arial"/>
        </w:rPr>
      </w:pPr>
    </w:p>
    <w:p w14:paraId="1BB528BA" w14:textId="77777777" w:rsidR="001A6106" w:rsidRPr="000A35BD" w:rsidRDefault="00244A2A" w:rsidP="001A6106">
      <w:pPr>
        <w:jc w:val="both"/>
        <w:rPr>
          <w:rFonts w:cs="Arial"/>
        </w:rPr>
      </w:pPr>
      <w:r w:rsidRPr="000A35BD">
        <w:rPr>
          <w:rFonts w:cs="Arial"/>
        </w:rPr>
        <w:t>Key risks to the Fund as outlined in the Funding Strategy Statement are:</w:t>
      </w:r>
    </w:p>
    <w:p w14:paraId="0FE828B0" w14:textId="77777777" w:rsidR="001A6106" w:rsidRPr="000A35BD" w:rsidRDefault="00540554" w:rsidP="001A6106">
      <w:pPr>
        <w:jc w:val="both"/>
        <w:rPr>
          <w:rFonts w:cs="Arial"/>
        </w:rPr>
      </w:pPr>
    </w:p>
    <w:p w14:paraId="586DA0FF"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Investment markets fail to perform in line with expectations</w:t>
      </w:r>
    </w:p>
    <w:p w14:paraId="00C6298D"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Market yields move at variance with assumptions</w:t>
      </w:r>
    </w:p>
    <w:p w14:paraId="4D34A5FE"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 xml:space="preserve">Investment Fund Managers fail to achieve performance targets over the longer term especially as there is a large concentration of investments with LPP with the resultant risk of personnel change </w:t>
      </w:r>
    </w:p>
    <w:p w14:paraId="77D0DBB6"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Asset re-allocations in volatile markets may lock in past losses</w:t>
      </w:r>
    </w:p>
    <w:p w14:paraId="2289C3A3"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Pay and price inflation is significantly higher than anticipated</w:t>
      </w:r>
    </w:p>
    <w:p w14:paraId="1A231B0F"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 xml:space="preserve">Demographic risks </w:t>
      </w:r>
    </w:p>
    <w:p w14:paraId="4FD1D5EE"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Regulatory changes</w:t>
      </w:r>
    </w:p>
    <w:p w14:paraId="4008F03D" w14:textId="77777777" w:rsidR="001A6106" w:rsidRPr="00244A2A" w:rsidRDefault="00244A2A" w:rsidP="001A6106">
      <w:pPr>
        <w:pStyle w:val="ListParagraph"/>
        <w:numPr>
          <w:ilvl w:val="0"/>
          <w:numId w:val="19"/>
        </w:numPr>
        <w:autoSpaceDE/>
        <w:autoSpaceDN/>
        <w:adjustRightInd/>
        <w:spacing w:after="200" w:line="276" w:lineRule="auto"/>
        <w:rPr>
          <w:rFonts w:asciiTheme="minorHAnsi" w:hAnsiTheme="minorHAnsi" w:cs="Arial"/>
        </w:rPr>
      </w:pPr>
      <w:r w:rsidRPr="00244A2A">
        <w:rPr>
          <w:rFonts w:asciiTheme="minorHAnsi" w:hAnsiTheme="minorHAnsi" w:cs="Arial"/>
        </w:rPr>
        <w:t>Changes to national pension requirements and/or Inland Revenue rules</w:t>
      </w:r>
    </w:p>
    <w:p w14:paraId="31F539C4" w14:textId="77777777" w:rsidR="001A6106" w:rsidRPr="007C3632" w:rsidRDefault="00244A2A" w:rsidP="001A6106">
      <w:pPr>
        <w:jc w:val="both"/>
        <w:rPr>
          <w:rFonts w:cs="Arial"/>
        </w:rPr>
      </w:pPr>
      <w:r>
        <w:rPr>
          <w:rFonts w:cs="Arial"/>
        </w:rPr>
        <w:t>These risks are monitored and managed with d</w:t>
      </w:r>
      <w:r w:rsidRPr="007C3632">
        <w:rPr>
          <w:rFonts w:cs="Arial"/>
        </w:rPr>
        <w:t xml:space="preserve">iversification </w:t>
      </w:r>
      <w:r>
        <w:rPr>
          <w:rFonts w:cs="Arial"/>
        </w:rPr>
        <w:t>being</w:t>
      </w:r>
      <w:r w:rsidRPr="007C3632">
        <w:rPr>
          <w:rFonts w:cs="Arial"/>
        </w:rPr>
        <w:t xml:space="preserve"> a very important risk management tool. As described in the section on Asset Allocation, the </w:t>
      </w:r>
      <w:r>
        <w:rPr>
          <w:rFonts w:cs="Arial"/>
        </w:rPr>
        <w:t>Fund</w:t>
      </w:r>
      <w:r w:rsidRPr="007C3632">
        <w:rPr>
          <w:rFonts w:cs="Arial"/>
        </w:rPr>
        <w:t xml:space="preserve"> will seek to maintain a diversified exposure to several different asset classes, geographies, and currencies. </w:t>
      </w:r>
    </w:p>
    <w:p w14:paraId="27B5D35F" w14:textId="77777777" w:rsidR="001A6106" w:rsidRPr="007C3632" w:rsidRDefault="00540554" w:rsidP="001A6106">
      <w:pPr>
        <w:jc w:val="both"/>
        <w:rPr>
          <w:rFonts w:cs="Arial"/>
        </w:rPr>
      </w:pPr>
    </w:p>
    <w:p w14:paraId="057A9BB6" w14:textId="77777777" w:rsidR="001A6106" w:rsidRDefault="00244A2A" w:rsidP="001A6106">
      <w:pPr>
        <w:jc w:val="both"/>
        <w:rPr>
          <w:rFonts w:cs="Arial"/>
        </w:rPr>
      </w:pPr>
      <w:r w:rsidRPr="007C3632">
        <w:rPr>
          <w:rFonts w:cs="Arial"/>
        </w:rPr>
        <w:t xml:space="preserve">The asset class pools described </w:t>
      </w:r>
      <w:r>
        <w:rPr>
          <w:rFonts w:cs="Arial"/>
        </w:rPr>
        <w:t>above</w:t>
      </w:r>
      <w:r w:rsidRPr="007C3632">
        <w:rPr>
          <w:rFonts w:cs="Arial"/>
        </w:rPr>
        <w:t xml:space="preserve"> are also subject to a number of constraints to allow for intra-asset class diversification, including sector, country, manager, and maximum exposure to a single asset.</w:t>
      </w:r>
    </w:p>
    <w:p w14:paraId="4BB4516F" w14:textId="77777777" w:rsidR="001A6106" w:rsidRDefault="00540554" w:rsidP="001A6106">
      <w:pPr>
        <w:jc w:val="both"/>
        <w:rPr>
          <w:rFonts w:cs="Arial"/>
        </w:rPr>
      </w:pPr>
    </w:p>
    <w:p w14:paraId="5FA4F1A1" w14:textId="77777777" w:rsidR="001A6106" w:rsidRDefault="00244A2A" w:rsidP="001A6106">
      <w:pPr>
        <w:jc w:val="both"/>
        <w:rPr>
          <w:rFonts w:cs="Arial"/>
        </w:rPr>
      </w:pPr>
      <w:r w:rsidRPr="00477594">
        <w:rPr>
          <w:rFonts w:cs="Arial"/>
        </w:rPr>
        <w:t xml:space="preserve">Operational risk is minimised by having custody of the Fund's financial assets provided by </w:t>
      </w:r>
      <w:r>
        <w:rPr>
          <w:rFonts w:cs="Arial"/>
        </w:rPr>
        <w:t xml:space="preserve">Northern Trust, </w:t>
      </w:r>
      <w:r w:rsidRPr="00477594">
        <w:rPr>
          <w:rFonts w:cs="Arial"/>
        </w:rPr>
        <w:t>a regulated, external, third party, professional custodian.</w:t>
      </w:r>
      <w:r>
        <w:rPr>
          <w:rFonts w:cs="Arial"/>
        </w:rPr>
        <w:t xml:space="preserve"> Equivalent arrangements are in place where investments are made into pooled vehicles, such as those managed by LPP I.</w:t>
      </w:r>
    </w:p>
    <w:p w14:paraId="55D69351" w14:textId="77777777" w:rsidR="001A6106" w:rsidRPr="007C3632" w:rsidRDefault="00244A2A" w:rsidP="001A6106">
      <w:pPr>
        <w:jc w:val="both"/>
        <w:rPr>
          <w:rFonts w:cs="Arial"/>
        </w:rPr>
      </w:pPr>
      <w:r w:rsidRPr="007C3632">
        <w:rPr>
          <w:rFonts w:cs="Arial"/>
        </w:rPr>
        <w:tab/>
        <w:t xml:space="preserve">  </w:t>
      </w:r>
    </w:p>
    <w:p w14:paraId="23DE5E7F" w14:textId="441776D1" w:rsidR="001A6106" w:rsidRDefault="00244A2A" w:rsidP="001A6106">
      <w:pPr>
        <w:jc w:val="both"/>
        <w:rPr>
          <w:rFonts w:cs="Arial"/>
          <w:b/>
        </w:rPr>
      </w:pPr>
      <w:r w:rsidRPr="007C3632">
        <w:rPr>
          <w:rFonts w:cs="Arial"/>
          <w:b/>
        </w:rPr>
        <w:t>Performance measurement</w:t>
      </w:r>
    </w:p>
    <w:p w14:paraId="53360019" w14:textId="77777777" w:rsidR="00244A2A" w:rsidRDefault="00244A2A" w:rsidP="001A6106">
      <w:pPr>
        <w:jc w:val="both"/>
        <w:rPr>
          <w:rFonts w:cs="Arial"/>
          <w:b/>
        </w:rPr>
      </w:pPr>
    </w:p>
    <w:p w14:paraId="2705A0AF" w14:textId="77777777" w:rsidR="001A6106" w:rsidRPr="007C3632" w:rsidRDefault="00244A2A" w:rsidP="001A6106">
      <w:pPr>
        <w:jc w:val="both"/>
        <w:rPr>
          <w:rFonts w:cs="Arial"/>
        </w:rPr>
      </w:pPr>
      <w:r w:rsidRPr="007C3632">
        <w:rPr>
          <w:rFonts w:cs="Arial"/>
        </w:rPr>
        <w:t>Fund performance is measured at a number of different levels. The objective of the Fund is to outperform the actuarial discount rate</w:t>
      </w:r>
      <w:r>
        <w:rPr>
          <w:rFonts w:cs="Arial"/>
        </w:rPr>
        <w:t xml:space="preserve">. </w:t>
      </w:r>
    </w:p>
    <w:p w14:paraId="1DF23151" w14:textId="77777777" w:rsidR="001A6106" w:rsidRPr="007C3632" w:rsidRDefault="00540554" w:rsidP="001A6106">
      <w:pPr>
        <w:jc w:val="both"/>
        <w:rPr>
          <w:rFonts w:cs="Arial"/>
        </w:rPr>
      </w:pPr>
    </w:p>
    <w:p w14:paraId="6F5ABECC" w14:textId="77777777" w:rsidR="001A6106" w:rsidRPr="007C3632" w:rsidRDefault="00244A2A" w:rsidP="001A6106">
      <w:pPr>
        <w:jc w:val="both"/>
        <w:rPr>
          <w:rFonts w:cs="Arial"/>
        </w:rPr>
      </w:pPr>
      <w:r w:rsidRPr="007C3632">
        <w:rPr>
          <w:rFonts w:cs="Arial"/>
        </w:rPr>
        <w:t xml:space="preserve">The performance of the pooling arrangements is monitored via regular reporting and through </w:t>
      </w:r>
      <w:r>
        <w:rPr>
          <w:rFonts w:cs="Arial"/>
        </w:rPr>
        <w:t xml:space="preserve">quarterly Panel </w:t>
      </w:r>
      <w:r w:rsidRPr="007C3632">
        <w:rPr>
          <w:rFonts w:cs="Arial"/>
        </w:rPr>
        <w:t xml:space="preserve">meetings. Performance for </w:t>
      </w:r>
      <w:r>
        <w:rPr>
          <w:rFonts w:cs="Arial"/>
        </w:rPr>
        <w:t>LPP I</w:t>
      </w:r>
      <w:r w:rsidRPr="007C3632">
        <w:rPr>
          <w:rFonts w:cs="Arial"/>
        </w:rPr>
        <w:t xml:space="preserve"> is measured against the policy portfolio</w:t>
      </w:r>
      <w:r>
        <w:rPr>
          <w:rFonts w:cs="Arial"/>
        </w:rPr>
        <w:t xml:space="preserve"> benchmark</w:t>
      </w:r>
      <w:r w:rsidRPr="007C3632">
        <w:rPr>
          <w:rFonts w:cs="Arial"/>
        </w:rPr>
        <w:t xml:space="preserve">. </w:t>
      </w:r>
      <w:r>
        <w:rPr>
          <w:rFonts w:cs="Arial"/>
        </w:rPr>
        <w:t>LPP I</w:t>
      </w:r>
      <w:r w:rsidRPr="007C3632">
        <w:rPr>
          <w:rFonts w:cs="Arial"/>
        </w:rPr>
        <w:t xml:space="preserve"> seeks to outperform the policy portfolio on a risk adjusted basis, via active sub-asset class selection, selecting the best stocks/managers for each of the pools and by implementing investments in a low cost manner.  Performance for the investment pools is measured against widely used and transparent benchmarks</w:t>
      </w:r>
      <w:r>
        <w:rPr>
          <w:rFonts w:cs="Arial"/>
        </w:rPr>
        <w:t xml:space="preserve"> and appropriate targets.</w:t>
      </w:r>
    </w:p>
    <w:p w14:paraId="0756982A" w14:textId="77777777" w:rsidR="001A6106" w:rsidRPr="007C3632" w:rsidRDefault="00540554" w:rsidP="001A6106">
      <w:pPr>
        <w:jc w:val="both"/>
        <w:rPr>
          <w:rFonts w:cs="Arial"/>
        </w:rPr>
      </w:pPr>
    </w:p>
    <w:p w14:paraId="20184712" w14:textId="77777777" w:rsidR="001A6106" w:rsidRPr="007C3632" w:rsidRDefault="00244A2A" w:rsidP="001A6106">
      <w:pPr>
        <w:jc w:val="both"/>
        <w:rPr>
          <w:rFonts w:cs="Arial"/>
        </w:rPr>
      </w:pPr>
      <w:r w:rsidRPr="007C3632">
        <w:rPr>
          <w:rFonts w:cs="Arial"/>
        </w:rPr>
        <w:t>Where performance falls</w:t>
      </w:r>
      <w:r>
        <w:rPr>
          <w:rFonts w:cs="Arial"/>
        </w:rPr>
        <w:t xml:space="preserve"> short of expectations the Committee and the Panel</w:t>
      </w:r>
      <w:r w:rsidRPr="007C3632">
        <w:rPr>
          <w:rFonts w:cs="Arial"/>
        </w:rPr>
        <w:t xml:space="preserve"> will identify the cause of this underperformance and will respond appropriately</w:t>
      </w:r>
      <w:r>
        <w:rPr>
          <w:rFonts w:cs="Arial"/>
        </w:rPr>
        <w:t>.  In practice, the Fund would expect to work collaboratively with LPP I to identify and remedy the cause of any underperformance.</w:t>
      </w:r>
    </w:p>
    <w:p w14:paraId="537A7EA6" w14:textId="77777777" w:rsidR="001A6106" w:rsidRPr="007C3632" w:rsidRDefault="00540554" w:rsidP="001A6106">
      <w:pPr>
        <w:jc w:val="both"/>
        <w:rPr>
          <w:rFonts w:cs="Arial"/>
        </w:rPr>
      </w:pPr>
    </w:p>
    <w:p w14:paraId="1D59797A" w14:textId="59AEA68F" w:rsidR="001A6106" w:rsidRDefault="00244A2A" w:rsidP="001A6106">
      <w:pPr>
        <w:jc w:val="both"/>
        <w:rPr>
          <w:rFonts w:cs="Arial"/>
          <w:b/>
        </w:rPr>
      </w:pPr>
      <w:r>
        <w:rPr>
          <w:rFonts w:cs="Arial"/>
          <w:b/>
        </w:rPr>
        <w:t xml:space="preserve">6. </w:t>
      </w:r>
      <w:r w:rsidRPr="009D7299">
        <w:rPr>
          <w:rFonts w:cs="Arial"/>
          <w:b/>
        </w:rPr>
        <w:t>Environmental Social and Corporate Governance (ESG) Policy, and approach to social investments</w:t>
      </w:r>
    </w:p>
    <w:p w14:paraId="1C388FDF" w14:textId="77777777" w:rsidR="00244A2A" w:rsidRDefault="00244A2A" w:rsidP="001A6106">
      <w:pPr>
        <w:jc w:val="both"/>
        <w:rPr>
          <w:rFonts w:cs="Arial"/>
          <w:b/>
        </w:rPr>
      </w:pPr>
    </w:p>
    <w:p w14:paraId="72D5AAA7" w14:textId="108B8876" w:rsidR="001A6106" w:rsidRPr="00762DD6" w:rsidRDefault="00244A2A" w:rsidP="001A6106">
      <w:pPr>
        <w:jc w:val="both"/>
      </w:pPr>
      <w:r w:rsidRPr="00762DD6">
        <w:rPr>
          <w:rFonts w:cs="Arial"/>
        </w:rPr>
        <w:t>The Fund is committed to being a long</w:t>
      </w:r>
      <w:r>
        <w:rPr>
          <w:rFonts w:cs="Arial"/>
        </w:rPr>
        <w:t>-</w:t>
      </w:r>
      <w:r w:rsidRPr="00762DD6">
        <w:rPr>
          <w:rFonts w:cs="Arial"/>
        </w:rPr>
        <w:t>term responsible investor</w:t>
      </w:r>
      <w:r>
        <w:rPr>
          <w:rFonts w:cs="Arial"/>
        </w:rPr>
        <w:t>.  It is an integral part of the way the Fund is managed.  The Responsible Investment Policy of the Fund is available at this link.</w:t>
      </w:r>
      <w:r>
        <w:t xml:space="preserve"> </w:t>
      </w:r>
      <w:hyperlink r:id="rId14" w:history="1">
        <w:r w:rsidRPr="00BD0B76">
          <w:rPr>
            <w:rStyle w:val="Hyperlink"/>
          </w:rPr>
          <w:t>Lancashire Fund Information - Lancashire County Council</w:t>
        </w:r>
      </w:hyperlink>
      <w:r>
        <w:t>.</w:t>
      </w:r>
    </w:p>
    <w:sectPr w:rsidR="001A6106" w:rsidRPr="00762DD6" w:rsidSect="003627B6">
      <w:headerReference w:type="even" r:id="rId15"/>
      <w:headerReference w:type="default" r:id="rId16"/>
      <w:footerReference w:type="even" r:id="rId17"/>
      <w:footerReference w:type="default" r:id="rId18"/>
      <w:headerReference w:type="first" r:id="rId19"/>
      <w:footerReference w:type="first" r:id="rId20"/>
      <w:pgSz w:w="11900" w:h="16840"/>
      <w:pgMar w:top="0" w:right="720" w:bottom="720" w:left="567" w:header="0" w:footer="168" w:gutter="0"/>
      <w:pgNumType w:start="1"/>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4F3F" w14:textId="77777777" w:rsidR="00A717B2" w:rsidRDefault="00244A2A">
      <w:pPr>
        <w:spacing w:after="0"/>
      </w:pPr>
      <w:r>
        <w:separator/>
      </w:r>
    </w:p>
  </w:endnote>
  <w:endnote w:type="continuationSeparator" w:id="0">
    <w:p w14:paraId="0F6C78E9" w14:textId="77777777" w:rsidR="00A717B2" w:rsidRDefault="00244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empos Headline Semibold">
    <w:altName w:val="Times New Roman"/>
    <w:panose1 w:val="00000000000000000000"/>
    <w:charset w:val="4D"/>
    <w:family w:val="roman"/>
    <w:notTrueType/>
    <w:pitch w:val="variable"/>
    <w:sig w:usb0="00000007" w:usb1="00000000" w:usb2="00000000" w:usb3="00000000" w:csb0="00000093" w:csb1="00000000"/>
  </w:font>
  <w:font w:name="MrEavesSanOTBook">
    <w:altName w:val="Malgun Gothic"/>
    <w:panose1 w:val="00000000000000000000"/>
    <w:charset w:val="4D"/>
    <w:family w:val="swiss"/>
    <w:notTrueType/>
    <w:pitch w:val="variable"/>
    <w:sig w:usb0="00000003" w:usb1="00000001" w:usb2="00000000" w:usb3="00000000" w:csb0="00000001" w:csb1="00000000"/>
  </w:font>
  <w:font w:name="MrEavesSanOT">
    <w:altName w:val="Malgun Gothic"/>
    <w:panose1 w:val="00000000000000000000"/>
    <w:charset w:val="4D"/>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EFF4" w14:textId="77777777" w:rsidR="00B57E86" w:rsidRDefault="00540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145524"/>
      <w:docPartObj>
        <w:docPartGallery w:val="Page Numbers (Bottom of Page)"/>
        <w:docPartUnique/>
      </w:docPartObj>
    </w:sdtPr>
    <w:sdtEndPr>
      <w:rPr>
        <w:noProof/>
      </w:rPr>
    </w:sdtEndPr>
    <w:sdtContent>
      <w:p w14:paraId="7B13FC7E" w14:textId="77777777" w:rsidR="00B14964" w:rsidRDefault="00244A2A" w:rsidP="00244A2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8CA69C8" w14:textId="77777777" w:rsidR="00B57E86" w:rsidRDefault="00540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E157" w14:textId="77777777" w:rsidR="00B57E86" w:rsidRDefault="00540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9CE18" w14:textId="77777777" w:rsidR="00A717B2" w:rsidRDefault="00244A2A">
      <w:pPr>
        <w:spacing w:after="0"/>
      </w:pPr>
      <w:r>
        <w:separator/>
      </w:r>
    </w:p>
  </w:footnote>
  <w:footnote w:type="continuationSeparator" w:id="0">
    <w:p w14:paraId="4D189B68" w14:textId="77777777" w:rsidR="00A717B2" w:rsidRDefault="00244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2BCF" w14:textId="77777777" w:rsidR="00B57E86" w:rsidRDefault="00540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22B0" w14:textId="77777777" w:rsidR="00F662B0" w:rsidRDefault="00244A2A" w:rsidP="005F796F">
    <w:pPr>
      <w:pStyle w:val="Header"/>
    </w:pPr>
    <w:r>
      <w:rPr>
        <w:noProof/>
        <w:lang w:eastAsia="en-GB"/>
      </w:rPr>
      <mc:AlternateContent>
        <mc:Choice Requires="wps">
          <w:drawing>
            <wp:anchor distT="0" distB="0" distL="114300" distR="114300" simplePos="0" relativeHeight="251658240" behindDoc="0" locked="0" layoutInCell="1" allowOverlap="1" wp14:anchorId="6122455F" wp14:editId="7ACC46F8">
              <wp:simplePos x="0" y="0"/>
              <wp:positionH relativeFrom="column">
                <wp:posOffset>-130810</wp:posOffset>
              </wp:positionH>
              <wp:positionV relativeFrom="paragraph">
                <wp:posOffset>466090</wp:posOffset>
              </wp:positionV>
              <wp:extent cx="723265" cy="6057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23265" cy="605790"/>
                      </a:xfrm>
                      <a:prstGeom prst="rect">
                        <a:avLst/>
                      </a:prstGeom>
                      <a:noFill/>
                      <a:ln w="6350">
                        <a:noFill/>
                      </a:ln>
                    </wps:spPr>
                    <wps:txbx>
                      <w:txbxContent>
                        <w:p w14:paraId="17D26570" w14:textId="77777777" w:rsidR="00F662B0" w:rsidRPr="00AB1054" w:rsidRDefault="00244A2A" w:rsidP="00566D1A">
                          <w:pPr>
                            <w:pStyle w:val="BasicParagraph"/>
                            <w:suppressAutoHyphens/>
                            <w:spacing w:after="0"/>
                            <w:jc w:val="center"/>
                            <w:rPr>
                              <w:rFonts w:ascii="Tiempos Headline Semibold" w:hAnsi="Tiempos Headline Semibold" w:cs="Tiempos Headline Semibold"/>
                              <w:color w:val="FFFFFF" w:themeColor="background1"/>
                              <w:sz w:val="42"/>
                              <w:szCs w:val="42"/>
                              <w14:textOutline w14:w="9525" w14:cap="flat" w14:cmpd="sng" w14:algn="ctr">
                                <w14:noFill/>
                                <w14:prstDash w14:val="solid"/>
                                <w14:round/>
                              </w14:textOutline>
                            </w:rPr>
                          </w:pPr>
                          <w:r w:rsidRPr="00AB1054">
                            <w:rPr>
                              <w:rFonts w:ascii="Tiempos Headline Semibold" w:hAnsi="Tiempos Headline Semibold" w:cs="Tiempos Headline Semibold"/>
                              <w:color w:val="FFFFFF" w:themeColor="background1"/>
                              <w:sz w:val="42"/>
                              <w:szCs w:val="42"/>
                              <w14:textOutline w14:w="9525" w14:cap="flat" w14:cmpd="sng" w14:algn="ctr">
                                <w14:noFill/>
                                <w14:prstDash w14:val="solid"/>
                                <w14:round/>
                              </w14:textOutline>
                            </w:rPr>
                            <w:t>G</w:t>
                          </w:r>
                        </w:p>
                        <w:p w14:paraId="7D8A388D" w14:textId="77777777" w:rsidR="00F662B0" w:rsidRPr="00AB1054" w:rsidRDefault="00540554">
                          <w:pPr>
                            <w:rPr>
                              <w:color w:val="FFFFFF" w:themeColor="background1"/>
                              <w:vertAlign w:val="subscript"/>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122455F" id="_x0000_t202" coordsize="21600,21600" o:spt="202" path="m,l,21600r21600,l21600,xe">
              <v:stroke joinstyle="miter"/>
              <v:path gradientshapeok="t" o:connecttype="rect"/>
            </v:shapetype>
            <v:shape id="Text Box 45" o:spid="_x0000_s1030" type="#_x0000_t202" style="position:absolute;margin-left:-10.3pt;margin-top:36.7pt;width:56.9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" filled="f" stroked="f" strokeweight=".5pt">
              <v:textbox>
                <w:txbxContent>
                  <w:p w14:paraId="17D26570" w14:textId="77777777" w:rsidR="00F662B0" w:rsidRPr="00AB1054" w:rsidRDefault="00244A2A" w:rsidP="00566D1A">
                    <w:pPr>
                      <w:pStyle w:val="BasicParagraph"/>
                      <w:suppressAutoHyphens/>
                      <w:spacing w:after="0"/>
                      <w:jc w:val="center"/>
                      <w:rPr>
                        <w:rFonts w:ascii="Tiempos Headline Semibold" w:hAnsi="Tiempos Headline Semibold" w:cs="Tiempos Headline Semibold"/>
                        <w:color w:val="FFFFFF" w:themeColor="background1"/>
                        <w:sz w:val="42"/>
                        <w:szCs w:val="42"/>
                        <w14:textOutline w14:w="9525" w14:cap="flat" w14:cmpd="sng" w14:algn="ctr">
                          <w14:noFill/>
                          <w14:prstDash w14:val="solid"/>
                          <w14:round/>
                        </w14:textOutline>
                      </w:rPr>
                    </w:pPr>
                    <w:r w:rsidRPr="00AB1054">
                      <w:rPr>
                        <w:rFonts w:ascii="Tiempos Headline Semibold" w:hAnsi="Tiempos Headline Semibold" w:cs="Tiempos Headline Semibold"/>
                        <w:color w:val="FFFFFF" w:themeColor="background1"/>
                        <w:sz w:val="42"/>
                        <w:szCs w:val="42"/>
                        <w14:textOutline w14:w="9525" w14:cap="flat" w14:cmpd="sng" w14:algn="ctr">
                          <w14:noFill/>
                          <w14:prstDash w14:val="solid"/>
                          <w14:round/>
                        </w14:textOutline>
                      </w:rPr>
                      <w:t>G</w:t>
                    </w:r>
                  </w:p>
                  <w:p w14:paraId="7D8A388D" w14:textId="77777777" w:rsidR="00F662B0" w:rsidRPr="00AB1054" w:rsidRDefault="00244A2A">
                    <w:pPr>
                      <w:rPr>
                        <w:color w:val="FFFFFF" w:themeColor="background1"/>
                        <w:vertAlign w:val="subscript"/>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2E28" w14:textId="77777777" w:rsidR="00B57E86" w:rsidRDefault="00540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F4AB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47816"/>
    <w:multiLevelType w:val="hybridMultilevel"/>
    <w:tmpl w:val="9CB2D25A"/>
    <w:lvl w:ilvl="0" w:tplc="8C4A6F62">
      <w:start w:val="1"/>
      <w:numFmt w:val="lowerLetter"/>
      <w:lvlText w:val="(%1)"/>
      <w:lvlJc w:val="left"/>
      <w:pPr>
        <w:ind w:left="1131" w:hanging="564"/>
      </w:pPr>
      <w:rPr>
        <w:rFonts w:hint="default"/>
      </w:rPr>
    </w:lvl>
    <w:lvl w:ilvl="1" w:tplc="5BFAEBE8" w:tentative="1">
      <w:start w:val="1"/>
      <w:numFmt w:val="lowerLetter"/>
      <w:lvlText w:val="%2."/>
      <w:lvlJc w:val="left"/>
      <w:pPr>
        <w:ind w:left="1647" w:hanging="360"/>
      </w:pPr>
    </w:lvl>
    <w:lvl w:ilvl="2" w:tplc="A920C70E" w:tentative="1">
      <w:start w:val="1"/>
      <w:numFmt w:val="lowerRoman"/>
      <w:lvlText w:val="%3."/>
      <w:lvlJc w:val="right"/>
      <w:pPr>
        <w:ind w:left="2367" w:hanging="180"/>
      </w:pPr>
    </w:lvl>
    <w:lvl w:ilvl="3" w:tplc="00C61E16" w:tentative="1">
      <w:start w:val="1"/>
      <w:numFmt w:val="decimal"/>
      <w:lvlText w:val="%4."/>
      <w:lvlJc w:val="left"/>
      <w:pPr>
        <w:ind w:left="3087" w:hanging="360"/>
      </w:pPr>
    </w:lvl>
    <w:lvl w:ilvl="4" w:tplc="A8B6DEFC" w:tentative="1">
      <w:start w:val="1"/>
      <w:numFmt w:val="lowerLetter"/>
      <w:lvlText w:val="%5."/>
      <w:lvlJc w:val="left"/>
      <w:pPr>
        <w:ind w:left="3807" w:hanging="360"/>
      </w:pPr>
    </w:lvl>
    <w:lvl w:ilvl="5" w:tplc="02FCDD86" w:tentative="1">
      <w:start w:val="1"/>
      <w:numFmt w:val="lowerRoman"/>
      <w:lvlText w:val="%6."/>
      <w:lvlJc w:val="right"/>
      <w:pPr>
        <w:ind w:left="4527" w:hanging="180"/>
      </w:pPr>
    </w:lvl>
    <w:lvl w:ilvl="6" w:tplc="11A43F4E" w:tentative="1">
      <w:start w:val="1"/>
      <w:numFmt w:val="decimal"/>
      <w:lvlText w:val="%7."/>
      <w:lvlJc w:val="left"/>
      <w:pPr>
        <w:ind w:left="5247" w:hanging="360"/>
      </w:pPr>
    </w:lvl>
    <w:lvl w:ilvl="7" w:tplc="E56853A8" w:tentative="1">
      <w:start w:val="1"/>
      <w:numFmt w:val="lowerLetter"/>
      <w:lvlText w:val="%8."/>
      <w:lvlJc w:val="left"/>
      <w:pPr>
        <w:ind w:left="5967" w:hanging="360"/>
      </w:pPr>
    </w:lvl>
    <w:lvl w:ilvl="8" w:tplc="E7EAAEA6" w:tentative="1">
      <w:start w:val="1"/>
      <w:numFmt w:val="lowerRoman"/>
      <w:lvlText w:val="%9."/>
      <w:lvlJc w:val="right"/>
      <w:pPr>
        <w:ind w:left="6687" w:hanging="180"/>
      </w:pPr>
    </w:lvl>
  </w:abstractNum>
  <w:abstractNum w:abstractNumId="2" w15:restartNumberingAfterBreak="0">
    <w:nsid w:val="0D0E72D6"/>
    <w:multiLevelType w:val="hybridMultilevel"/>
    <w:tmpl w:val="B58C57C6"/>
    <w:lvl w:ilvl="0" w:tplc="32402028">
      <w:start w:val="1"/>
      <w:numFmt w:val="bullet"/>
      <w:lvlText w:val=""/>
      <w:lvlJc w:val="left"/>
      <w:pPr>
        <w:ind w:left="720" w:hanging="360"/>
      </w:pPr>
      <w:rPr>
        <w:rFonts w:ascii="Symbol" w:hAnsi="Symbol" w:hint="default"/>
      </w:rPr>
    </w:lvl>
    <w:lvl w:ilvl="1" w:tplc="FE267EDE" w:tentative="1">
      <w:start w:val="1"/>
      <w:numFmt w:val="bullet"/>
      <w:lvlText w:val="o"/>
      <w:lvlJc w:val="left"/>
      <w:pPr>
        <w:ind w:left="1440" w:hanging="360"/>
      </w:pPr>
      <w:rPr>
        <w:rFonts w:ascii="Courier New" w:hAnsi="Courier New" w:cs="Courier New" w:hint="default"/>
      </w:rPr>
    </w:lvl>
    <w:lvl w:ilvl="2" w:tplc="788E584C">
      <w:start w:val="1"/>
      <w:numFmt w:val="bullet"/>
      <w:lvlText w:val=""/>
      <w:lvlJc w:val="left"/>
      <w:pPr>
        <w:ind w:left="2160" w:hanging="360"/>
      </w:pPr>
      <w:rPr>
        <w:rFonts w:ascii="Wingdings" w:hAnsi="Wingdings" w:hint="default"/>
      </w:rPr>
    </w:lvl>
    <w:lvl w:ilvl="3" w:tplc="D15EAA00" w:tentative="1">
      <w:start w:val="1"/>
      <w:numFmt w:val="bullet"/>
      <w:lvlText w:val=""/>
      <w:lvlJc w:val="left"/>
      <w:pPr>
        <w:ind w:left="2880" w:hanging="360"/>
      </w:pPr>
      <w:rPr>
        <w:rFonts w:ascii="Symbol" w:hAnsi="Symbol" w:hint="default"/>
      </w:rPr>
    </w:lvl>
    <w:lvl w:ilvl="4" w:tplc="3E6C058A" w:tentative="1">
      <w:start w:val="1"/>
      <w:numFmt w:val="bullet"/>
      <w:lvlText w:val="o"/>
      <w:lvlJc w:val="left"/>
      <w:pPr>
        <w:ind w:left="3600" w:hanging="360"/>
      </w:pPr>
      <w:rPr>
        <w:rFonts w:ascii="Courier New" w:hAnsi="Courier New" w:cs="Courier New" w:hint="default"/>
      </w:rPr>
    </w:lvl>
    <w:lvl w:ilvl="5" w:tplc="CF46662A" w:tentative="1">
      <w:start w:val="1"/>
      <w:numFmt w:val="bullet"/>
      <w:lvlText w:val=""/>
      <w:lvlJc w:val="left"/>
      <w:pPr>
        <w:ind w:left="4320" w:hanging="360"/>
      </w:pPr>
      <w:rPr>
        <w:rFonts w:ascii="Wingdings" w:hAnsi="Wingdings" w:hint="default"/>
      </w:rPr>
    </w:lvl>
    <w:lvl w:ilvl="6" w:tplc="C8D64BD8" w:tentative="1">
      <w:start w:val="1"/>
      <w:numFmt w:val="bullet"/>
      <w:lvlText w:val=""/>
      <w:lvlJc w:val="left"/>
      <w:pPr>
        <w:ind w:left="5040" w:hanging="360"/>
      </w:pPr>
      <w:rPr>
        <w:rFonts w:ascii="Symbol" w:hAnsi="Symbol" w:hint="default"/>
      </w:rPr>
    </w:lvl>
    <w:lvl w:ilvl="7" w:tplc="FB825E68" w:tentative="1">
      <w:start w:val="1"/>
      <w:numFmt w:val="bullet"/>
      <w:lvlText w:val="o"/>
      <w:lvlJc w:val="left"/>
      <w:pPr>
        <w:ind w:left="5760" w:hanging="360"/>
      </w:pPr>
      <w:rPr>
        <w:rFonts w:ascii="Courier New" w:hAnsi="Courier New" w:cs="Courier New" w:hint="default"/>
      </w:rPr>
    </w:lvl>
    <w:lvl w:ilvl="8" w:tplc="5A7CD52E" w:tentative="1">
      <w:start w:val="1"/>
      <w:numFmt w:val="bullet"/>
      <w:lvlText w:val=""/>
      <w:lvlJc w:val="left"/>
      <w:pPr>
        <w:ind w:left="6480" w:hanging="360"/>
      </w:pPr>
      <w:rPr>
        <w:rFonts w:ascii="Wingdings" w:hAnsi="Wingdings" w:hint="default"/>
      </w:rPr>
    </w:lvl>
  </w:abstractNum>
  <w:abstractNum w:abstractNumId="3" w15:restartNumberingAfterBreak="0">
    <w:nsid w:val="0E795A4C"/>
    <w:multiLevelType w:val="hybridMultilevel"/>
    <w:tmpl w:val="B66E4270"/>
    <w:lvl w:ilvl="0" w:tplc="FE046DE0">
      <w:start w:val="1"/>
      <w:numFmt w:val="bullet"/>
      <w:lvlText w:val=""/>
      <w:lvlJc w:val="left"/>
      <w:pPr>
        <w:ind w:left="360" w:hanging="360"/>
      </w:pPr>
      <w:rPr>
        <w:rFonts w:ascii="Symbol" w:hAnsi="Symbol" w:hint="default"/>
      </w:rPr>
    </w:lvl>
    <w:lvl w:ilvl="1" w:tplc="C5BE9CCC" w:tentative="1">
      <w:start w:val="1"/>
      <w:numFmt w:val="bullet"/>
      <w:lvlText w:val="o"/>
      <w:lvlJc w:val="left"/>
      <w:pPr>
        <w:ind w:left="1080" w:hanging="360"/>
      </w:pPr>
      <w:rPr>
        <w:rFonts w:ascii="Courier New" w:hAnsi="Courier New" w:cs="Courier New" w:hint="default"/>
      </w:rPr>
    </w:lvl>
    <w:lvl w:ilvl="2" w:tplc="BB4E52A4">
      <w:start w:val="1"/>
      <w:numFmt w:val="bullet"/>
      <w:lvlText w:val=""/>
      <w:lvlJc w:val="left"/>
      <w:pPr>
        <w:ind w:left="1800" w:hanging="360"/>
      </w:pPr>
      <w:rPr>
        <w:rFonts w:ascii="Wingdings" w:hAnsi="Wingdings" w:hint="default"/>
      </w:rPr>
    </w:lvl>
    <w:lvl w:ilvl="3" w:tplc="CC5C9B02" w:tentative="1">
      <w:start w:val="1"/>
      <w:numFmt w:val="bullet"/>
      <w:lvlText w:val=""/>
      <w:lvlJc w:val="left"/>
      <w:pPr>
        <w:ind w:left="2520" w:hanging="360"/>
      </w:pPr>
      <w:rPr>
        <w:rFonts w:ascii="Symbol" w:hAnsi="Symbol" w:hint="default"/>
      </w:rPr>
    </w:lvl>
    <w:lvl w:ilvl="4" w:tplc="16CCD150" w:tentative="1">
      <w:start w:val="1"/>
      <w:numFmt w:val="bullet"/>
      <w:lvlText w:val="o"/>
      <w:lvlJc w:val="left"/>
      <w:pPr>
        <w:ind w:left="3240" w:hanging="360"/>
      </w:pPr>
      <w:rPr>
        <w:rFonts w:ascii="Courier New" w:hAnsi="Courier New" w:cs="Courier New" w:hint="default"/>
      </w:rPr>
    </w:lvl>
    <w:lvl w:ilvl="5" w:tplc="8214DA72" w:tentative="1">
      <w:start w:val="1"/>
      <w:numFmt w:val="bullet"/>
      <w:lvlText w:val=""/>
      <w:lvlJc w:val="left"/>
      <w:pPr>
        <w:ind w:left="3960" w:hanging="360"/>
      </w:pPr>
      <w:rPr>
        <w:rFonts w:ascii="Wingdings" w:hAnsi="Wingdings" w:hint="default"/>
      </w:rPr>
    </w:lvl>
    <w:lvl w:ilvl="6" w:tplc="CE6CBBE8" w:tentative="1">
      <w:start w:val="1"/>
      <w:numFmt w:val="bullet"/>
      <w:lvlText w:val=""/>
      <w:lvlJc w:val="left"/>
      <w:pPr>
        <w:ind w:left="4680" w:hanging="360"/>
      </w:pPr>
      <w:rPr>
        <w:rFonts w:ascii="Symbol" w:hAnsi="Symbol" w:hint="default"/>
      </w:rPr>
    </w:lvl>
    <w:lvl w:ilvl="7" w:tplc="27C88070" w:tentative="1">
      <w:start w:val="1"/>
      <w:numFmt w:val="bullet"/>
      <w:lvlText w:val="o"/>
      <w:lvlJc w:val="left"/>
      <w:pPr>
        <w:ind w:left="5400" w:hanging="360"/>
      </w:pPr>
      <w:rPr>
        <w:rFonts w:ascii="Courier New" w:hAnsi="Courier New" w:cs="Courier New" w:hint="default"/>
      </w:rPr>
    </w:lvl>
    <w:lvl w:ilvl="8" w:tplc="BF76BB6E" w:tentative="1">
      <w:start w:val="1"/>
      <w:numFmt w:val="bullet"/>
      <w:lvlText w:val=""/>
      <w:lvlJc w:val="left"/>
      <w:pPr>
        <w:ind w:left="6120" w:hanging="360"/>
      </w:pPr>
      <w:rPr>
        <w:rFonts w:ascii="Wingdings" w:hAnsi="Wingdings" w:hint="default"/>
      </w:rPr>
    </w:lvl>
  </w:abstractNum>
  <w:abstractNum w:abstractNumId="4" w15:restartNumberingAfterBreak="0">
    <w:nsid w:val="287A0B2C"/>
    <w:multiLevelType w:val="hybridMultilevel"/>
    <w:tmpl w:val="B30C69FE"/>
    <w:lvl w:ilvl="0" w:tplc="B966FFA4">
      <w:start w:val="1"/>
      <w:numFmt w:val="decimal"/>
      <w:lvlText w:val="%1."/>
      <w:lvlJc w:val="left"/>
      <w:pPr>
        <w:ind w:left="720" w:hanging="360"/>
      </w:pPr>
    </w:lvl>
    <w:lvl w:ilvl="1" w:tplc="E1AC2614" w:tentative="1">
      <w:start w:val="1"/>
      <w:numFmt w:val="lowerLetter"/>
      <w:lvlText w:val="%2."/>
      <w:lvlJc w:val="left"/>
      <w:pPr>
        <w:ind w:left="1440" w:hanging="360"/>
      </w:pPr>
    </w:lvl>
    <w:lvl w:ilvl="2" w:tplc="51767536">
      <w:start w:val="1"/>
      <w:numFmt w:val="lowerRoman"/>
      <w:lvlText w:val="%3."/>
      <w:lvlJc w:val="right"/>
      <w:pPr>
        <w:ind w:left="2160" w:hanging="180"/>
      </w:pPr>
    </w:lvl>
    <w:lvl w:ilvl="3" w:tplc="09DA6E9E" w:tentative="1">
      <w:start w:val="1"/>
      <w:numFmt w:val="decimal"/>
      <w:lvlText w:val="%4."/>
      <w:lvlJc w:val="left"/>
      <w:pPr>
        <w:ind w:left="2880" w:hanging="360"/>
      </w:pPr>
    </w:lvl>
    <w:lvl w:ilvl="4" w:tplc="0D780030" w:tentative="1">
      <w:start w:val="1"/>
      <w:numFmt w:val="lowerLetter"/>
      <w:lvlText w:val="%5."/>
      <w:lvlJc w:val="left"/>
      <w:pPr>
        <w:ind w:left="3600" w:hanging="360"/>
      </w:pPr>
    </w:lvl>
    <w:lvl w:ilvl="5" w:tplc="7F34701E" w:tentative="1">
      <w:start w:val="1"/>
      <w:numFmt w:val="lowerRoman"/>
      <w:lvlText w:val="%6."/>
      <w:lvlJc w:val="right"/>
      <w:pPr>
        <w:ind w:left="4320" w:hanging="180"/>
      </w:pPr>
    </w:lvl>
    <w:lvl w:ilvl="6" w:tplc="BA306EA2" w:tentative="1">
      <w:start w:val="1"/>
      <w:numFmt w:val="decimal"/>
      <w:lvlText w:val="%7."/>
      <w:lvlJc w:val="left"/>
      <w:pPr>
        <w:ind w:left="5040" w:hanging="360"/>
      </w:pPr>
    </w:lvl>
    <w:lvl w:ilvl="7" w:tplc="BDCE379E" w:tentative="1">
      <w:start w:val="1"/>
      <w:numFmt w:val="lowerLetter"/>
      <w:lvlText w:val="%8."/>
      <w:lvlJc w:val="left"/>
      <w:pPr>
        <w:ind w:left="5760" w:hanging="360"/>
      </w:pPr>
    </w:lvl>
    <w:lvl w:ilvl="8" w:tplc="33FE154E" w:tentative="1">
      <w:start w:val="1"/>
      <w:numFmt w:val="lowerRoman"/>
      <w:lvlText w:val="%9."/>
      <w:lvlJc w:val="right"/>
      <w:pPr>
        <w:ind w:left="6480" w:hanging="180"/>
      </w:pPr>
    </w:lvl>
  </w:abstractNum>
  <w:abstractNum w:abstractNumId="5" w15:restartNumberingAfterBreak="0">
    <w:nsid w:val="2B0D51AF"/>
    <w:multiLevelType w:val="hybridMultilevel"/>
    <w:tmpl w:val="C298BB10"/>
    <w:lvl w:ilvl="0" w:tplc="C10C5F72">
      <w:start w:val="4"/>
      <w:numFmt w:val="bullet"/>
      <w:lvlText w:val="•"/>
      <w:lvlJc w:val="left"/>
      <w:pPr>
        <w:ind w:left="1440" w:hanging="720"/>
      </w:pPr>
      <w:rPr>
        <w:rFonts w:ascii="Tw Cen MT" w:eastAsiaTheme="minorHAnsi" w:hAnsi="Tw Cen MT" w:cs="Arial" w:hint="default"/>
      </w:rPr>
    </w:lvl>
    <w:lvl w:ilvl="1" w:tplc="25CC68FC" w:tentative="1">
      <w:start w:val="1"/>
      <w:numFmt w:val="bullet"/>
      <w:lvlText w:val="o"/>
      <w:lvlJc w:val="left"/>
      <w:pPr>
        <w:ind w:left="1440" w:hanging="360"/>
      </w:pPr>
      <w:rPr>
        <w:rFonts w:ascii="Courier New" w:hAnsi="Courier New" w:cs="Courier New" w:hint="default"/>
      </w:rPr>
    </w:lvl>
    <w:lvl w:ilvl="2" w:tplc="F8C2D676" w:tentative="1">
      <w:start w:val="1"/>
      <w:numFmt w:val="bullet"/>
      <w:lvlText w:val=""/>
      <w:lvlJc w:val="left"/>
      <w:pPr>
        <w:ind w:left="2160" w:hanging="360"/>
      </w:pPr>
      <w:rPr>
        <w:rFonts w:ascii="Wingdings" w:hAnsi="Wingdings" w:hint="default"/>
      </w:rPr>
    </w:lvl>
    <w:lvl w:ilvl="3" w:tplc="191CB9A2" w:tentative="1">
      <w:start w:val="1"/>
      <w:numFmt w:val="bullet"/>
      <w:lvlText w:val=""/>
      <w:lvlJc w:val="left"/>
      <w:pPr>
        <w:ind w:left="2880" w:hanging="360"/>
      </w:pPr>
      <w:rPr>
        <w:rFonts w:ascii="Symbol" w:hAnsi="Symbol" w:hint="default"/>
      </w:rPr>
    </w:lvl>
    <w:lvl w:ilvl="4" w:tplc="122A2AB6" w:tentative="1">
      <w:start w:val="1"/>
      <w:numFmt w:val="bullet"/>
      <w:lvlText w:val="o"/>
      <w:lvlJc w:val="left"/>
      <w:pPr>
        <w:ind w:left="3600" w:hanging="360"/>
      </w:pPr>
      <w:rPr>
        <w:rFonts w:ascii="Courier New" w:hAnsi="Courier New" w:cs="Courier New" w:hint="default"/>
      </w:rPr>
    </w:lvl>
    <w:lvl w:ilvl="5" w:tplc="0348352E" w:tentative="1">
      <w:start w:val="1"/>
      <w:numFmt w:val="bullet"/>
      <w:lvlText w:val=""/>
      <w:lvlJc w:val="left"/>
      <w:pPr>
        <w:ind w:left="4320" w:hanging="360"/>
      </w:pPr>
      <w:rPr>
        <w:rFonts w:ascii="Wingdings" w:hAnsi="Wingdings" w:hint="default"/>
      </w:rPr>
    </w:lvl>
    <w:lvl w:ilvl="6" w:tplc="83689584" w:tentative="1">
      <w:start w:val="1"/>
      <w:numFmt w:val="bullet"/>
      <w:lvlText w:val=""/>
      <w:lvlJc w:val="left"/>
      <w:pPr>
        <w:ind w:left="5040" w:hanging="360"/>
      </w:pPr>
      <w:rPr>
        <w:rFonts w:ascii="Symbol" w:hAnsi="Symbol" w:hint="default"/>
      </w:rPr>
    </w:lvl>
    <w:lvl w:ilvl="7" w:tplc="82BE2338" w:tentative="1">
      <w:start w:val="1"/>
      <w:numFmt w:val="bullet"/>
      <w:lvlText w:val="o"/>
      <w:lvlJc w:val="left"/>
      <w:pPr>
        <w:ind w:left="5760" w:hanging="360"/>
      </w:pPr>
      <w:rPr>
        <w:rFonts w:ascii="Courier New" w:hAnsi="Courier New" w:cs="Courier New" w:hint="default"/>
      </w:rPr>
    </w:lvl>
    <w:lvl w:ilvl="8" w:tplc="9CAE3BD4" w:tentative="1">
      <w:start w:val="1"/>
      <w:numFmt w:val="bullet"/>
      <w:lvlText w:val=""/>
      <w:lvlJc w:val="left"/>
      <w:pPr>
        <w:ind w:left="6480" w:hanging="360"/>
      </w:pPr>
      <w:rPr>
        <w:rFonts w:ascii="Wingdings" w:hAnsi="Wingdings" w:hint="default"/>
      </w:rPr>
    </w:lvl>
  </w:abstractNum>
  <w:abstractNum w:abstractNumId="6" w15:restartNumberingAfterBreak="0">
    <w:nsid w:val="3D496285"/>
    <w:multiLevelType w:val="hybridMultilevel"/>
    <w:tmpl w:val="79D4152A"/>
    <w:lvl w:ilvl="0" w:tplc="30105D7C">
      <w:start w:val="1"/>
      <w:numFmt w:val="lowerRoman"/>
      <w:lvlText w:val="(%1)"/>
      <w:lvlJc w:val="left"/>
      <w:pPr>
        <w:ind w:left="1854" w:hanging="720"/>
      </w:pPr>
      <w:rPr>
        <w:rFonts w:hint="default"/>
      </w:rPr>
    </w:lvl>
    <w:lvl w:ilvl="1" w:tplc="D80E4AFE" w:tentative="1">
      <w:start w:val="1"/>
      <w:numFmt w:val="lowerLetter"/>
      <w:lvlText w:val="%2."/>
      <w:lvlJc w:val="left"/>
      <w:pPr>
        <w:ind w:left="2214" w:hanging="360"/>
      </w:pPr>
    </w:lvl>
    <w:lvl w:ilvl="2" w:tplc="5BE4A4A6" w:tentative="1">
      <w:start w:val="1"/>
      <w:numFmt w:val="lowerRoman"/>
      <w:lvlText w:val="%3."/>
      <w:lvlJc w:val="right"/>
      <w:pPr>
        <w:ind w:left="2934" w:hanging="180"/>
      </w:pPr>
    </w:lvl>
    <w:lvl w:ilvl="3" w:tplc="0786DF80" w:tentative="1">
      <w:start w:val="1"/>
      <w:numFmt w:val="decimal"/>
      <w:lvlText w:val="%4."/>
      <w:lvlJc w:val="left"/>
      <w:pPr>
        <w:ind w:left="3654" w:hanging="360"/>
      </w:pPr>
    </w:lvl>
    <w:lvl w:ilvl="4" w:tplc="B4C69B76" w:tentative="1">
      <w:start w:val="1"/>
      <w:numFmt w:val="lowerLetter"/>
      <w:lvlText w:val="%5."/>
      <w:lvlJc w:val="left"/>
      <w:pPr>
        <w:ind w:left="4374" w:hanging="360"/>
      </w:pPr>
    </w:lvl>
    <w:lvl w:ilvl="5" w:tplc="7214C26A" w:tentative="1">
      <w:start w:val="1"/>
      <w:numFmt w:val="lowerRoman"/>
      <w:lvlText w:val="%6."/>
      <w:lvlJc w:val="right"/>
      <w:pPr>
        <w:ind w:left="5094" w:hanging="180"/>
      </w:pPr>
    </w:lvl>
    <w:lvl w:ilvl="6" w:tplc="CEF4F80E" w:tentative="1">
      <w:start w:val="1"/>
      <w:numFmt w:val="decimal"/>
      <w:lvlText w:val="%7."/>
      <w:lvlJc w:val="left"/>
      <w:pPr>
        <w:ind w:left="5814" w:hanging="360"/>
      </w:pPr>
    </w:lvl>
    <w:lvl w:ilvl="7" w:tplc="CE6EF02A" w:tentative="1">
      <w:start w:val="1"/>
      <w:numFmt w:val="lowerLetter"/>
      <w:lvlText w:val="%8."/>
      <w:lvlJc w:val="left"/>
      <w:pPr>
        <w:ind w:left="6534" w:hanging="360"/>
      </w:pPr>
    </w:lvl>
    <w:lvl w:ilvl="8" w:tplc="1A58F3F4" w:tentative="1">
      <w:start w:val="1"/>
      <w:numFmt w:val="lowerRoman"/>
      <w:lvlText w:val="%9."/>
      <w:lvlJc w:val="right"/>
      <w:pPr>
        <w:ind w:left="7254" w:hanging="180"/>
      </w:pPr>
    </w:lvl>
  </w:abstractNum>
  <w:abstractNum w:abstractNumId="7" w15:restartNumberingAfterBreak="0">
    <w:nsid w:val="3F01520E"/>
    <w:multiLevelType w:val="hybridMultilevel"/>
    <w:tmpl w:val="E6E46D30"/>
    <w:lvl w:ilvl="0" w:tplc="0156A700">
      <w:start w:val="1"/>
      <w:numFmt w:val="decimal"/>
      <w:lvlText w:val="%1."/>
      <w:lvlJc w:val="left"/>
      <w:pPr>
        <w:ind w:left="720" w:hanging="360"/>
      </w:pPr>
      <w:rPr>
        <w:rFonts w:hint="default"/>
        <w:color w:val="auto"/>
        <w:sz w:val="24"/>
        <w:szCs w:val="24"/>
      </w:rPr>
    </w:lvl>
    <w:lvl w:ilvl="1" w:tplc="1C6CB9F4" w:tentative="1">
      <w:start w:val="1"/>
      <w:numFmt w:val="lowerLetter"/>
      <w:lvlText w:val="%2."/>
      <w:lvlJc w:val="left"/>
      <w:pPr>
        <w:ind w:left="1440" w:hanging="360"/>
      </w:pPr>
    </w:lvl>
    <w:lvl w:ilvl="2" w:tplc="79482C0A" w:tentative="1">
      <w:start w:val="1"/>
      <w:numFmt w:val="lowerRoman"/>
      <w:lvlText w:val="%3."/>
      <w:lvlJc w:val="right"/>
      <w:pPr>
        <w:ind w:left="2160" w:hanging="180"/>
      </w:pPr>
    </w:lvl>
    <w:lvl w:ilvl="3" w:tplc="F3D6076A" w:tentative="1">
      <w:start w:val="1"/>
      <w:numFmt w:val="decimal"/>
      <w:lvlText w:val="%4."/>
      <w:lvlJc w:val="left"/>
      <w:pPr>
        <w:ind w:left="2880" w:hanging="360"/>
      </w:pPr>
    </w:lvl>
    <w:lvl w:ilvl="4" w:tplc="CA48C872" w:tentative="1">
      <w:start w:val="1"/>
      <w:numFmt w:val="lowerLetter"/>
      <w:lvlText w:val="%5."/>
      <w:lvlJc w:val="left"/>
      <w:pPr>
        <w:ind w:left="3600" w:hanging="360"/>
      </w:pPr>
    </w:lvl>
    <w:lvl w:ilvl="5" w:tplc="711CE030" w:tentative="1">
      <w:start w:val="1"/>
      <w:numFmt w:val="lowerRoman"/>
      <w:lvlText w:val="%6."/>
      <w:lvlJc w:val="right"/>
      <w:pPr>
        <w:ind w:left="4320" w:hanging="180"/>
      </w:pPr>
    </w:lvl>
    <w:lvl w:ilvl="6" w:tplc="56009D50" w:tentative="1">
      <w:start w:val="1"/>
      <w:numFmt w:val="decimal"/>
      <w:lvlText w:val="%7."/>
      <w:lvlJc w:val="left"/>
      <w:pPr>
        <w:ind w:left="5040" w:hanging="360"/>
      </w:pPr>
    </w:lvl>
    <w:lvl w:ilvl="7" w:tplc="6EE8314A" w:tentative="1">
      <w:start w:val="1"/>
      <w:numFmt w:val="lowerLetter"/>
      <w:lvlText w:val="%8."/>
      <w:lvlJc w:val="left"/>
      <w:pPr>
        <w:ind w:left="5760" w:hanging="360"/>
      </w:pPr>
    </w:lvl>
    <w:lvl w:ilvl="8" w:tplc="3B98BBEC" w:tentative="1">
      <w:start w:val="1"/>
      <w:numFmt w:val="lowerRoman"/>
      <w:lvlText w:val="%9."/>
      <w:lvlJc w:val="right"/>
      <w:pPr>
        <w:ind w:left="6480" w:hanging="180"/>
      </w:pPr>
    </w:lvl>
  </w:abstractNum>
  <w:abstractNum w:abstractNumId="8" w15:restartNumberingAfterBreak="0">
    <w:nsid w:val="413D79DD"/>
    <w:multiLevelType w:val="hybridMultilevel"/>
    <w:tmpl w:val="C48474E6"/>
    <w:lvl w:ilvl="0" w:tplc="18B0A0FC">
      <w:start w:val="4"/>
      <w:numFmt w:val="bullet"/>
      <w:lvlText w:val="•"/>
      <w:lvlJc w:val="left"/>
      <w:pPr>
        <w:ind w:left="1080" w:hanging="720"/>
      </w:pPr>
      <w:rPr>
        <w:rFonts w:ascii="Tw Cen MT" w:eastAsiaTheme="minorHAnsi" w:hAnsi="Tw Cen MT" w:cs="Arial" w:hint="default"/>
      </w:rPr>
    </w:lvl>
    <w:lvl w:ilvl="1" w:tplc="578C31D8" w:tentative="1">
      <w:start w:val="1"/>
      <w:numFmt w:val="bullet"/>
      <w:lvlText w:val="o"/>
      <w:lvlJc w:val="left"/>
      <w:pPr>
        <w:ind w:left="1440" w:hanging="360"/>
      </w:pPr>
      <w:rPr>
        <w:rFonts w:ascii="Courier New" w:hAnsi="Courier New" w:cs="Courier New" w:hint="default"/>
      </w:rPr>
    </w:lvl>
    <w:lvl w:ilvl="2" w:tplc="A5762CB4" w:tentative="1">
      <w:start w:val="1"/>
      <w:numFmt w:val="bullet"/>
      <w:lvlText w:val=""/>
      <w:lvlJc w:val="left"/>
      <w:pPr>
        <w:ind w:left="2160" w:hanging="360"/>
      </w:pPr>
      <w:rPr>
        <w:rFonts w:ascii="Wingdings" w:hAnsi="Wingdings" w:hint="default"/>
      </w:rPr>
    </w:lvl>
    <w:lvl w:ilvl="3" w:tplc="82BE415A" w:tentative="1">
      <w:start w:val="1"/>
      <w:numFmt w:val="bullet"/>
      <w:lvlText w:val=""/>
      <w:lvlJc w:val="left"/>
      <w:pPr>
        <w:ind w:left="2880" w:hanging="360"/>
      </w:pPr>
      <w:rPr>
        <w:rFonts w:ascii="Symbol" w:hAnsi="Symbol" w:hint="default"/>
      </w:rPr>
    </w:lvl>
    <w:lvl w:ilvl="4" w:tplc="900A3F78" w:tentative="1">
      <w:start w:val="1"/>
      <w:numFmt w:val="bullet"/>
      <w:lvlText w:val="o"/>
      <w:lvlJc w:val="left"/>
      <w:pPr>
        <w:ind w:left="3600" w:hanging="360"/>
      </w:pPr>
      <w:rPr>
        <w:rFonts w:ascii="Courier New" w:hAnsi="Courier New" w:cs="Courier New" w:hint="default"/>
      </w:rPr>
    </w:lvl>
    <w:lvl w:ilvl="5" w:tplc="2DFA4DEE" w:tentative="1">
      <w:start w:val="1"/>
      <w:numFmt w:val="bullet"/>
      <w:lvlText w:val=""/>
      <w:lvlJc w:val="left"/>
      <w:pPr>
        <w:ind w:left="4320" w:hanging="360"/>
      </w:pPr>
      <w:rPr>
        <w:rFonts w:ascii="Wingdings" w:hAnsi="Wingdings" w:hint="default"/>
      </w:rPr>
    </w:lvl>
    <w:lvl w:ilvl="6" w:tplc="3D1241A0" w:tentative="1">
      <w:start w:val="1"/>
      <w:numFmt w:val="bullet"/>
      <w:lvlText w:val=""/>
      <w:lvlJc w:val="left"/>
      <w:pPr>
        <w:ind w:left="5040" w:hanging="360"/>
      </w:pPr>
      <w:rPr>
        <w:rFonts w:ascii="Symbol" w:hAnsi="Symbol" w:hint="default"/>
      </w:rPr>
    </w:lvl>
    <w:lvl w:ilvl="7" w:tplc="12BC11AE" w:tentative="1">
      <w:start w:val="1"/>
      <w:numFmt w:val="bullet"/>
      <w:lvlText w:val="o"/>
      <w:lvlJc w:val="left"/>
      <w:pPr>
        <w:ind w:left="5760" w:hanging="360"/>
      </w:pPr>
      <w:rPr>
        <w:rFonts w:ascii="Courier New" w:hAnsi="Courier New" w:cs="Courier New" w:hint="default"/>
      </w:rPr>
    </w:lvl>
    <w:lvl w:ilvl="8" w:tplc="AD74CB34" w:tentative="1">
      <w:start w:val="1"/>
      <w:numFmt w:val="bullet"/>
      <w:lvlText w:val=""/>
      <w:lvlJc w:val="left"/>
      <w:pPr>
        <w:ind w:left="6480" w:hanging="360"/>
      </w:pPr>
      <w:rPr>
        <w:rFonts w:ascii="Wingdings" w:hAnsi="Wingdings" w:hint="default"/>
      </w:rPr>
    </w:lvl>
  </w:abstractNum>
  <w:abstractNum w:abstractNumId="9" w15:restartNumberingAfterBreak="0">
    <w:nsid w:val="49DA6845"/>
    <w:multiLevelType w:val="hybridMultilevel"/>
    <w:tmpl w:val="2654C40C"/>
    <w:lvl w:ilvl="0" w:tplc="45541C7E">
      <w:start w:val="4"/>
      <w:numFmt w:val="bullet"/>
      <w:lvlText w:val="•"/>
      <w:lvlJc w:val="left"/>
      <w:pPr>
        <w:ind w:left="1080" w:hanging="720"/>
      </w:pPr>
      <w:rPr>
        <w:rFonts w:ascii="Tw Cen MT" w:eastAsiaTheme="minorHAnsi" w:hAnsi="Tw Cen MT" w:cs="Arial" w:hint="default"/>
      </w:rPr>
    </w:lvl>
    <w:lvl w:ilvl="1" w:tplc="593A7B3E" w:tentative="1">
      <w:start w:val="1"/>
      <w:numFmt w:val="bullet"/>
      <w:lvlText w:val="o"/>
      <w:lvlJc w:val="left"/>
      <w:pPr>
        <w:ind w:left="1440" w:hanging="360"/>
      </w:pPr>
      <w:rPr>
        <w:rFonts w:ascii="Courier New" w:hAnsi="Courier New" w:cs="Courier New" w:hint="default"/>
      </w:rPr>
    </w:lvl>
    <w:lvl w:ilvl="2" w:tplc="89AC04DE" w:tentative="1">
      <w:start w:val="1"/>
      <w:numFmt w:val="bullet"/>
      <w:lvlText w:val=""/>
      <w:lvlJc w:val="left"/>
      <w:pPr>
        <w:ind w:left="2160" w:hanging="360"/>
      </w:pPr>
      <w:rPr>
        <w:rFonts w:ascii="Wingdings" w:hAnsi="Wingdings" w:hint="default"/>
      </w:rPr>
    </w:lvl>
    <w:lvl w:ilvl="3" w:tplc="FA6ED6CA" w:tentative="1">
      <w:start w:val="1"/>
      <w:numFmt w:val="bullet"/>
      <w:lvlText w:val=""/>
      <w:lvlJc w:val="left"/>
      <w:pPr>
        <w:ind w:left="2880" w:hanging="360"/>
      </w:pPr>
      <w:rPr>
        <w:rFonts w:ascii="Symbol" w:hAnsi="Symbol" w:hint="default"/>
      </w:rPr>
    </w:lvl>
    <w:lvl w:ilvl="4" w:tplc="87427C6E" w:tentative="1">
      <w:start w:val="1"/>
      <w:numFmt w:val="bullet"/>
      <w:lvlText w:val="o"/>
      <w:lvlJc w:val="left"/>
      <w:pPr>
        <w:ind w:left="3600" w:hanging="360"/>
      </w:pPr>
      <w:rPr>
        <w:rFonts w:ascii="Courier New" w:hAnsi="Courier New" w:cs="Courier New" w:hint="default"/>
      </w:rPr>
    </w:lvl>
    <w:lvl w:ilvl="5" w:tplc="26C23592" w:tentative="1">
      <w:start w:val="1"/>
      <w:numFmt w:val="bullet"/>
      <w:lvlText w:val=""/>
      <w:lvlJc w:val="left"/>
      <w:pPr>
        <w:ind w:left="4320" w:hanging="360"/>
      </w:pPr>
      <w:rPr>
        <w:rFonts w:ascii="Wingdings" w:hAnsi="Wingdings" w:hint="default"/>
      </w:rPr>
    </w:lvl>
    <w:lvl w:ilvl="6" w:tplc="A31E446E" w:tentative="1">
      <w:start w:val="1"/>
      <w:numFmt w:val="bullet"/>
      <w:lvlText w:val=""/>
      <w:lvlJc w:val="left"/>
      <w:pPr>
        <w:ind w:left="5040" w:hanging="360"/>
      </w:pPr>
      <w:rPr>
        <w:rFonts w:ascii="Symbol" w:hAnsi="Symbol" w:hint="default"/>
      </w:rPr>
    </w:lvl>
    <w:lvl w:ilvl="7" w:tplc="BC187202" w:tentative="1">
      <w:start w:val="1"/>
      <w:numFmt w:val="bullet"/>
      <w:lvlText w:val="o"/>
      <w:lvlJc w:val="left"/>
      <w:pPr>
        <w:ind w:left="5760" w:hanging="360"/>
      </w:pPr>
      <w:rPr>
        <w:rFonts w:ascii="Courier New" w:hAnsi="Courier New" w:cs="Courier New" w:hint="default"/>
      </w:rPr>
    </w:lvl>
    <w:lvl w:ilvl="8" w:tplc="1C18098A" w:tentative="1">
      <w:start w:val="1"/>
      <w:numFmt w:val="bullet"/>
      <w:lvlText w:val=""/>
      <w:lvlJc w:val="left"/>
      <w:pPr>
        <w:ind w:left="6480" w:hanging="360"/>
      </w:pPr>
      <w:rPr>
        <w:rFonts w:ascii="Wingdings" w:hAnsi="Wingdings" w:hint="default"/>
      </w:rPr>
    </w:lvl>
  </w:abstractNum>
  <w:abstractNum w:abstractNumId="10" w15:restartNumberingAfterBreak="0">
    <w:nsid w:val="4B1B034F"/>
    <w:multiLevelType w:val="hybridMultilevel"/>
    <w:tmpl w:val="84FE9196"/>
    <w:lvl w:ilvl="0" w:tplc="C0AE5782">
      <w:start w:val="4"/>
      <w:numFmt w:val="bullet"/>
      <w:lvlText w:val="•"/>
      <w:lvlJc w:val="left"/>
      <w:pPr>
        <w:ind w:left="1080" w:hanging="720"/>
      </w:pPr>
      <w:rPr>
        <w:rFonts w:ascii="Tw Cen MT" w:eastAsiaTheme="minorHAnsi" w:hAnsi="Tw Cen MT" w:cs="Arial" w:hint="default"/>
      </w:rPr>
    </w:lvl>
    <w:lvl w:ilvl="1" w:tplc="AED0DD7C" w:tentative="1">
      <w:start w:val="1"/>
      <w:numFmt w:val="bullet"/>
      <w:lvlText w:val="o"/>
      <w:lvlJc w:val="left"/>
      <w:pPr>
        <w:ind w:left="1440" w:hanging="360"/>
      </w:pPr>
      <w:rPr>
        <w:rFonts w:ascii="Courier New" w:hAnsi="Courier New" w:cs="Courier New" w:hint="default"/>
      </w:rPr>
    </w:lvl>
    <w:lvl w:ilvl="2" w:tplc="9BF21C78" w:tentative="1">
      <w:start w:val="1"/>
      <w:numFmt w:val="bullet"/>
      <w:lvlText w:val=""/>
      <w:lvlJc w:val="left"/>
      <w:pPr>
        <w:ind w:left="2160" w:hanging="360"/>
      </w:pPr>
      <w:rPr>
        <w:rFonts w:ascii="Wingdings" w:hAnsi="Wingdings" w:hint="default"/>
      </w:rPr>
    </w:lvl>
    <w:lvl w:ilvl="3" w:tplc="9FA89CCE" w:tentative="1">
      <w:start w:val="1"/>
      <w:numFmt w:val="bullet"/>
      <w:lvlText w:val=""/>
      <w:lvlJc w:val="left"/>
      <w:pPr>
        <w:ind w:left="2880" w:hanging="360"/>
      </w:pPr>
      <w:rPr>
        <w:rFonts w:ascii="Symbol" w:hAnsi="Symbol" w:hint="default"/>
      </w:rPr>
    </w:lvl>
    <w:lvl w:ilvl="4" w:tplc="333A8E9E" w:tentative="1">
      <w:start w:val="1"/>
      <w:numFmt w:val="bullet"/>
      <w:lvlText w:val="o"/>
      <w:lvlJc w:val="left"/>
      <w:pPr>
        <w:ind w:left="3600" w:hanging="360"/>
      </w:pPr>
      <w:rPr>
        <w:rFonts w:ascii="Courier New" w:hAnsi="Courier New" w:cs="Courier New" w:hint="default"/>
      </w:rPr>
    </w:lvl>
    <w:lvl w:ilvl="5" w:tplc="D3701B3E" w:tentative="1">
      <w:start w:val="1"/>
      <w:numFmt w:val="bullet"/>
      <w:lvlText w:val=""/>
      <w:lvlJc w:val="left"/>
      <w:pPr>
        <w:ind w:left="4320" w:hanging="360"/>
      </w:pPr>
      <w:rPr>
        <w:rFonts w:ascii="Wingdings" w:hAnsi="Wingdings" w:hint="default"/>
      </w:rPr>
    </w:lvl>
    <w:lvl w:ilvl="6" w:tplc="978C62C0" w:tentative="1">
      <w:start w:val="1"/>
      <w:numFmt w:val="bullet"/>
      <w:lvlText w:val=""/>
      <w:lvlJc w:val="left"/>
      <w:pPr>
        <w:ind w:left="5040" w:hanging="360"/>
      </w:pPr>
      <w:rPr>
        <w:rFonts w:ascii="Symbol" w:hAnsi="Symbol" w:hint="default"/>
      </w:rPr>
    </w:lvl>
    <w:lvl w:ilvl="7" w:tplc="BDF02CE8" w:tentative="1">
      <w:start w:val="1"/>
      <w:numFmt w:val="bullet"/>
      <w:lvlText w:val="o"/>
      <w:lvlJc w:val="left"/>
      <w:pPr>
        <w:ind w:left="5760" w:hanging="360"/>
      </w:pPr>
      <w:rPr>
        <w:rFonts w:ascii="Courier New" w:hAnsi="Courier New" w:cs="Courier New" w:hint="default"/>
      </w:rPr>
    </w:lvl>
    <w:lvl w:ilvl="8" w:tplc="2CA63B38" w:tentative="1">
      <w:start w:val="1"/>
      <w:numFmt w:val="bullet"/>
      <w:lvlText w:val=""/>
      <w:lvlJc w:val="left"/>
      <w:pPr>
        <w:ind w:left="6480" w:hanging="360"/>
      </w:pPr>
      <w:rPr>
        <w:rFonts w:ascii="Wingdings" w:hAnsi="Wingdings" w:hint="default"/>
      </w:rPr>
    </w:lvl>
  </w:abstractNum>
  <w:abstractNum w:abstractNumId="11" w15:restartNumberingAfterBreak="0">
    <w:nsid w:val="4F622458"/>
    <w:multiLevelType w:val="hybridMultilevel"/>
    <w:tmpl w:val="F93E532E"/>
    <w:lvl w:ilvl="0" w:tplc="4C98DF9C">
      <w:start w:val="4"/>
      <w:numFmt w:val="bullet"/>
      <w:lvlText w:val="•"/>
      <w:lvlJc w:val="left"/>
      <w:pPr>
        <w:ind w:left="1440" w:hanging="720"/>
      </w:pPr>
      <w:rPr>
        <w:rFonts w:ascii="Tw Cen MT" w:eastAsiaTheme="minorHAnsi" w:hAnsi="Tw Cen MT" w:cs="Arial" w:hint="default"/>
      </w:rPr>
    </w:lvl>
    <w:lvl w:ilvl="1" w:tplc="E5B2906E" w:tentative="1">
      <w:start w:val="1"/>
      <w:numFmt w:val="bullet"/>
      <w:lvlText w:val="o"/>
      <w:lvlJc w:val="left"/>
      <w:pPr>
        <w:ind w:left="1800" w:hanging="360"/>
      </w:pPr>
      <w:rPr>
        <w:rFonts w:ascii="Courier New" w:hAnsi="Courier New" w:cs="Courier New" w:hint="default"/>
      </w:rPr>
    </w:lvl>
    <w:lvl w:ilvl="2" w:tplc="38A6A268" w:tentative="1">
      <w:start w:val="1"/>
      <w:numFmt w:val="bullet"/>
      <w:lvlText w:val=""/>
      <w:lvlJc w:val="left"/>
      <w:pPr>
        <w:ind w:left="2520" w:hanging="360"/>
      </w:pPr>
      <w:rPr>
        <w:rFonts w:ascii="Wingdings" w:hAnsi="Wingdings" w:hint="default"/>
      </w:rPr>
    </w:lvl>
    <w:lvl w:ilvl="3" w:tplc="1258F5AC" w:tentative="1">
      <w:start w:val="1"/>
      <w:numFmt w:val="bullet"/>
      <w:lvlText w:val=""/>
      <w:lvlJc w:val="left"/>
      <w:pPr>
        <w:ind w:left="3240" w:hanging="360"/>
      </w:pPr>
      <w:rPr>
        <w:rFonts w:ascii="Symbol" w:hAnsi="Symbol" w:hint="default"/>
      </w:rPr>
    </w:lvl>
    <w:lvl w:ilvl="4" w:tplc="835CDE9E" w:tentative="1">
      <w:start w:val="1"/>
      <w:numFmt w:val="bullet"/>
      <w:lvlText w:val="o"/>
      <w:lvlJc w:val="left"/>
      <w:pPr>
        <w:ind w:left="3960" w:hanging="360"/>
      </w:pPr>
      <w:rPr>
        <w:rFonts w:ascii="Courier New" w:hAnsi="Courier New" w:cs="Courier New" w:hint="default"/>
      </w:rPr>
    </w:lvl>
    <w:lvl w:ilvl="5" w:tplc="118ED636" w:tentative="1">
      <w:start w:val="1"/>
      <w:numFmt w:val="bullet"/>
      <w:lvlText w:val=""/>
      <w:lvlJc w:val="left"/>
      <w:pPr>
        <w:ind w:left="4680" w:hanging="360"/>
      </w:pPr>
      <w:rPr>
        <w:rFonts w:ascii="Wingdings" w:hAnsi="Wingdings" w:hint="default"/>
      </w:rPr>
    </w:lvl>
    <w:lvl w:ilvl="6" w:tplc="82B03CB8" w:tentative="1">
      <w:start w:val="1"/>
      <w:numFmt w:val="bullet"/>
      <w:lvlText w:val=""/>
      <w:lvlJc w:val="left"/>
      <w:pPr>
        <w:ind w:left="5400" w:hanging="360"/>
      </w:pPr>
      <w:rPr>
        <w:rFonts w:ascii="Symbol" w:hAnsi="Symbol" w:hint="default"/>
      </w:rPr>
    </w:lvl>
    <w:lvl w:ilvl="7" w:tplc="AECA0E5C" w:tentative="1">
      <w:start w:val="1"/>
      <w:numFmt w:val="bullet"/>
      <w:lvlText w:val="o"/>
      <w:lvlJc w:val="left"/>
      <w:pPr>
        <w:ind w:left="6120" w:hanging="360"/>
      </w:pPr>
      <w:rPr>
        <w:rFonts w:ascii="Courier New" w:hAnsi="Courier New" w:cs="Courier New" w:hint="default"/>
      </w:rPr>
    </w:lvl>
    <w:lvl w:ilvl="8" w:tplc="19D41A60" w:tentative="1">
      <w:start w:val="1"/>
      <w:numFmt w:val="bullet"/>
      <w:lvlText w:val=""/>
      <w:lvlJc w:val="left"/>
      <w:pPr>
        <w:ind w:left="6840" w:hanging="360"/>
      </w:pPr>
      <w:rPr>
        <w:rFonts w:ascii="Wingdings" w:hAnsi="Wingdings" w:hint="default"/>
      </w:rPr>
    </w:lvl>
  </w:abstractNum>
  <w:abstractNum w:abstractNumId="12" w15:restartNumberingAfterBreak="0">
    <w:nsid w:val="50F503BF"/>
    <w:multiLevelType w:val="hybridMultilevel"/>
    <w:tmpl w:val="D6CA8F46"/>
    <w:lvl w:ilvl="0" w:tplc="199237EE">
      <w:start w:val="4"/>
      <w:numFmt w:val="bullet"/>
      <w:lvlText w:val="•"/>
      <w:lvlJc w:val="left"/>
      <w:pPr>
        <w:ind w:left="1080" w:hanging="720"/>
      </w:pPr>
      <w:rPr>
        <w:rFonts w:ascii="Tw Cen MT" w:eastAsiaTheme="minorHAnsi" w:hAnsi="Tw Cen MT" w:cs="Arial" w:hint="default"/>
      </w:rPr>
    </w:lvl>
    <w:lvl w:ilvl="1" w:tplc="1B165D22" w:tentative="1">
      <w:start w:val="1"/>
      <w:numFmt w:val="bullet"/>
      <w:lvlText w:val="o"/>
      <w:lvlJc w:val="left"/>
      <w:pPr>
        <w:ind w:left="1440" w:hanging="360"/>
      </w:pPr>
      <w:rPr>
        <w:rFonts w:ascii="Courier New" w:hAnsi="Courier New" w:cs="Courier New" w:hint="default"/>
      </w:rPr>
    </w:lvl>
    <w:lvl w:ilvl="2" w:tplc="3612A67E" w:tentative="1">
      <w:start w:val="1"/>
      <w:numFmt w:val="bullet"/>
      <w:lvlText w:val=""/>
      <w:lvlJc w:val="left"/>
      <w:pPr>
        <w:ind w:left="2160" w:hanging="360"/>
      </w:pPr>
      <w:rPr>
        <w:rFonts w:ascii="Wingdings" w:hAnsi="Wingdings" w:hint="default"/>
      </w:rPr>
    </w:lvl>
    <w:lvl w:ilvl="3" w:tplc="E048AB26" w:tentative="1">
      <w:start w:val="1"/>
      <w:numFmt w:val="bullet"/>
      <w:lvlText w:val=""/>
      <w:lvlJc w:val="left"/>
      <w:pPr>
        <w:ind w:left="2880" w:hanging="360"/>
      </w:pPr>
      <w:rPr>
        <w:rFonts w:ascii="Symbol" w:hAnsi="Symbol" w:hint="default"/>
      </w:rPr>
    </w:lvl>
    <w:lvl w:ilvl="4" w:tplc="8622519A" w:tentative="1">
      <w:start w:val="1"/>
      <w:numFmt w:val="bullet"/>
      <w:lvlText w:val="o"/>
      <w:lvlJc w:val="left"/>
      <w:pPr>
        <w:ind w:left="3600" w:hanging="360"/>
      </w:pPr>
      <w:rPr>
        <w:rFonts w:ascii="Courier New" w:hAnsi="Courier New" w:cs="Courier New" w:hint="default"/>
      </w:rPr>
    </w:lvl>
    <w:lvl w:ilvl="5" w:tplc="0C7A22C6" w:tentative="1">
      <w:start w:val="1"/>
      <w:numFmt w:val="bullet"/>
      <w:lvlText w:val=""/>
      <w:lvlJc w:val="left"/>
      <w:pPr>
        <w:ind w:left="4320" w:hanging="360"/>
      </w:pPr>
      <w:rPr>
        <w:rFonts w:ascii="Wingdings" w:hAnsi="Wingdings" w:hint="default"/>
      </w:rPr>
    </w:lvl>
    <w:lvl w:ilvl="6" w:tplc="4D68E3E6" w:tentative="1">
      <w:start w:val="1"/>
      <w:numFmt w:val="bullet"/>
      <w:lvlText w:val=""/>
      <w:lvlJc w:val="left"/>
      <w:pPr>
        <w:ind w:left="5040" w:hanging="360"/>
      </w:pPr>
      <w:rPr>
        <w:rFonts w:ascii="Symbol" w:hAnsi="Symbol" w:hint="default"/>
      </w:rPr>
    </w:lvl>
    <w:lvl w:ilvl="7" w:tplc="75524B72" w:tentative="1">
      <w:start w:val="1"/>
      <w:numFmt w:val="bullet"/>
      <w:lvlText w:val="o"/>
      <w:lvlJc w:val="left"/>
      <w:pPr>
        <w:ind w:left="5760" w:hanging="360"/>
      </w:pPr>
      <w:rPr>
        <w:rFonts w:ascii="Courier New" w:hAnsi="Courier New" w:cs="Courier New" w:hint="default"/>
      </w:rPr>
    </w:lvl>
    <w:lvl w:ilvl="8" w:tplc="B380E004" w:tentative="1">
      <w:start w:val="1"/>
      <w:numFmt w:val="bullet"/>
      <w:lvlText w:val=""/>
      <w:lvlJc w:val="left"/>
      <w:pPr>
        <w:ind w:left="6480" w:hanging="360"/>
      </w:pPr>
      <w:rPr>
        <w:rFonts w:ascii="Wingdings" w:hAnsi="Wingdings" w:hint="default"/>
      </w:rPr>
    </w:lvl>
  </w:abstractNum>
  <w:abstractNum w:abstractNumId="13" w15:restartNumberingAfterBreak="0">
    <w:nsid w:val="64706C58"/>
    <w:multiLevelType w:val="hybridMultilevel"/>
    <w:tmpl w:val="8BB2B2DE"/>
    <w:lvl w:ilvl="0" w:tplc="5638FF92">
      <w:start w:val="1"/>
      <w:numFmt w:val="bullet"/>
      <w:lvlText w:val=""/>
      <w:lvlJc w:val="left"/>
      <w:pPr>
        <w:ind w:left="360" w:hanging="360"/>
      </w:pPr>
      <w:rPr>
        <w:rFonts w:ascii="Symbol" w:hAnsi="Symbol" w:hint="default"/>
      </w:rPr>
    </w:lvl>
    <w:lvl w:ilvl="1" w:tplc="207460A6" w:tentative="1">
      <w:start w:val="1"/>
      <w:numFmt w:val="bullet"/>
      <w:lvlText w:val="o"/>
      <w:lvlJc w:val="left"/>
      <w:pPr>
        <w:ind w:left="1080" w:hanging="360"/>
      </w:pPr>
      <w:rPr>
        <w:rFonts w:ascii="Courier New" w:hAnsi="Courier New" w:cs="Courier New" w:hint="default"/>
      </w:rPr>
    </w:lvl>
    <w:lvl w:ilvl="2" w:tplc="2BB42048" w:tentative="1">
      <w:start w:val="1"/>
      <w:numFmt w:val="bullet"/>
      <w:lvlText w:val=""/>
      <w:lvlJc w:val="left"/>
      <w:pPr>
        <w:ind w:left="1800" w:hanging="360"/>
      </w:pPr>
      <w:rPr>
        <w:rFonts w:ascii="Wingdings" w:hAnsi="Wingdings" w:hint="default"/>
      </w:rPr>
    </w:lvl>
    <w:lvl w:ilvl="3" w:tplc="AC5E2020" w:tentative="1">
      <w:start w:val="1"/>
      <w:numFmt w:val="bullet"/>
      <w:lvlText w:val=""/>
      <w:lvlJc w:val="left"/>
      <w:pPr>
        <w:ind w:left="2520" w:hanging="360"/>
      </w:pPr>
      <w:rPr>
        <w:rFonts w:ascii="Symbol" w:hAnsi="Symbol" w:hint="default"/>
      </w:rPr>
    </w:lvl>
    <w:lvl w:ilvl="4" w:tplc="B2783AE4" w:tentative="1">
      <w:start w:val="1"/>
      <w:numFmt w:val="bullet"/>
      <w:lvlText w:val="o"/>
      <w:lvlJc w:val="left"/>
      <w:pPr>
        <w:ind w:left="3240" w:hanging="360"/>
      </w:pPr>
      <w:rPr>
        <w:rFonts w:ascii="Courier New" w:hAnsi="Courier New" w:cs="Courier New" w:hint="default"/>
      </w:rPr>
    </w:lvl>
    <w:lvl w:ilvl="5" w:tplc="890E4326" w:tentative="1">
      <w:start w:val="1"/>
      <w:numFmt w:val="bullet"/>
      <w:lvlText w:val=""/>
      <w:lvlJc w:val="left"/>
      <w:pPr>
        <w:ind w:left="3960" w:hanging="360"/>
      </w:pPr>
      <w:rPr>
        <w:rFonts w:ascii="Wingdings" w:hAnsi="Wingdings" w:hint="default"/>
      </w:rPr>
    </w:lvl>
    <w:lvl w:ilvl="6" w:tplc="84ECB452" w:tentative="1">
      <w:start w:val="1"/>
      <w:numFmt w:val="bullet"/>
      <w:lvlText w:val=""/>
      <w:lvlJc w:val="left"/>
      <w:pPr>
        <w:ind w:left="4680" w:hanging="360"/>
      </w:pPr>
      <w:rPr>
        <w:rFonts w:ascii="Symbol" w:hAnsi="Symbol" w:hint="default"/>
      </w:rPr>
    </w:lvl>
    <w:lvl w:ilvl="7" w:tplc="4CC465F4" w:tentative="1">
      <w:start w:val="1"/>
      <w:numFmt w:val="bullet"/>
      <w:lvlText w:val="o"/>
      <w:lvlJc w:val="left"/>
      <w:pPr>
        <w:ind w:left="5400" w:hanging="360"/>
      </w:pPr>
      <w:rPr>
        <w:rFonts w:ascii="Courier New" w:hAnsi="Courier New" w:cs="Courier New" w:hint="default"/>
      </w:rPr>
    </w:lvl>
    <w:lvl w:ilvl="8" w:tplc="A1583EB6" w:tentative="1">
      <w:start w:val="1"/>
      <w:numFmt w:val="bullet"/>
      <w:lvlText w:val=""/>
      <w:lvlJc w:val="left"/>
      <w:pPr>
        <w:ind w:left="6120" w:hanging="360"/>
      </w:pPr>
      <w:rPr>
        <w:rFonts w:ascii="Wingdings" w:hAnsi="Wingdings" w:hint="default"/>
      </w:rPr>
    </w:lvl>
  </w:abstractNum>
  <w:abstractNum w:abstractNumId="14" w15:restartNumberingAfterBreak="0">
    <w:nsid w:val="64991550"/>
    <w:multiLevelType w:val="hybridMultilevel"/>
    <w:tmpl w:val="DA00AA50"/>
    <w:lvl w:ilvl="0" w:tplc="29529980">
      <w:start w:val="1"/>
      <w:numFmt w:val="lowerLetter"/>
      <w:lvlText w:val="(%1)"/>
      <w:lvlJc w:val="left"/>
      <w:pPr>
        <w:ind w:left="360" w:hanging="360"/>
      </w:pPr>
      <w:rPr>
        <w:rFonts w:hint="default"/>
      </w:rPr>
    </w:lvl>
    <w:lvl w:ilvl="1" w:tplc="54A251B0" w:tentative="1">
      <w:start w:val="1"/>
      <w:numFmt w:val="lowerLetter"/>
      <w:lvlText w:val="%2."/>
      <w:lvlJc w:val="left"/>
      <w:pPr>
        <w:ind w:left="1080" w:hanging="360"/>
      </w:pPr>
    </w:lvl>
    <w:lvl w:ilvl="2" w:tplc="4FB2C216" w:tentative="1">
      <w:start w:val="1"/>
      <w:numFmt w:val="lowerRoman"/>
      <w:lvlText w:val="%3."/>
      <w:lvlJc w:val="right"/>
      <w:pPr>
        <w:ind w:left="1800" w:hanging="180"/>
      </w:pPr>
    </w:lvl>
    <w:lvl w:ilvl="3" w:tplc="677A0FD6" w:tentative="1">
      <w:start w:val="1"/>
      <w:numFmt w:val="decimal"/>
      <w:lvlText w:val="%4."/>
      <w:lvlJc w:val="left"/>
      <w:pPr>
        <w:ind w:left="2520" w:hanging="360"/>
      </w:pPr>
    </w:lvl>
    <w:lvl w:ilvl="4" w:tplc="0330C2EC" w:tentative="1">
      <w:start w:val="1"/>
      <w:numFmt w:val="lowerLetter"/>
      <w:lvlText w:val="%5."/>
      <w:lvlJc w:val="left"/>
      <w:pPr>
        <w:ind w:left="3240" w:hanging="360"/>
      </w:pPr>
    </w:lvl>
    <w:lvl w:ilvl="5" w:tplc="62D4B6C8" w:tentative="1">
      <w:start w:val="1"/>
      <w:numFmt w:val="lowerRoman"/>
      <w:lvlText w:val="%6."/>
      <w:lvlJc w:val="right"/>
      <w:pPr>
        <w:ind w:left="3960" w:hanging="180"/>
      </w:pPr>
    </w:lvl>
    <w:lvl w:ilvl="6" w:tplc="B046F4DE" w:tentative="1">
      <w:start w:val="1"/>
      <w:numFmt w:val="decimal"/>
      <w:lvlText w:val="%7."/>
      <w:lvlJc w:val="left"/>
      <w:pPr>
        <w:ind w:left="4680" w:hanging="360"/>
      </w:pPr>
    </w:lvl>
    <w:lvl w:ilvl="7" w:tplc="9F9CB036" w:tentative="1">
      <w:start w:val="1"/>
      <w:numFmt w:val="lowerLetter"/>
      <w:lvlText w:val="%8."/>
      <w:lvlJc w:val="left"/>
      <w:pPr>
        <w:ind w:left="5400" w:hanging="360"/>
      </w:pPr>
    </w:lvl>
    <w:lvl w:ilvl="8" w:tplc="AEFED4C8" w:tentative="1">
      <w:start w:val="1"/>
      <w:numFmt w:val="lowerRoman"/>
      <w:lvlText w:val="%9."/>
      <w:lvlJc w:val="right"/>
      <w:pPr>
        <w:ind w:left="6120" w:hanging="180"/>
      </w:pPr>
    </w:lvl>
  </w:abstractNum>
  <w:abstractNum w:abstractNumId="15" w15:restartNumberingAfterBreak="0">
    <w:nsid w:val="66A52602"/>
    <w:multiLevelType w:val="hybridMultilevel"/>
    <w:tmpl w:val="C8F28886"/>
    <w:lvl w:ilvl="0" w:tplc="ED765182">
      <w:start w:val="1"/>
      <w:numFmt w:val="decimal"/>
      <w:lvlText w:val="%1."/>
      <w:lvlJc w:val="left"/>
      <w:pPr>
        <w:ind w:left="720" w:hanging="360"/>
      </w:pPr>
    </w:lvl>
    <w:lvl w:ilvl="1" w:tplc="51302CD8" w:tentative="1">
      <w:start w:val="1"/>
      <w:numFmt w:val="lowerLetter"/>
      <w:lvlText w:val="%2."/>
      <w:lvlJc w:val="left"/>
      <w:pPr>
        <w:ind w:left="1440" w:hanging="360"/>
      </w:pPr>
    </w:lvl>
    <w:lvl w:ilvl="2" w:tplc="C2305084">
      <w:start w:val="1"/>
      <w:numFmt w:val="lowerRoman"/>
      <w:lvlText w:val="%3."/>
      <w:lvlJc w:val="right"/>
      <w:pPr>
        <w:ind w:left="2160" w:hanging="180"/>
      </w:pPr>
    </w:lvl>
    <w:lvl w:ilvl="3" w:tplc="269CAB80" w:tentative="1">
      <w:start w:val="1"/>
      <w:numFmt w:val="decimal"/>
      <w:lvlText w:val="%4."/>
      <w:lvlJc w:val="left"/>
      <w:pPr>
        <w:ind w:left="2880" w:hanging="360"/>
      </w:pPr>
    </w:lvl>
    <w:lvl w:ilvl="4" w:tplc="CDE66A3A" w:tentative="1">
      <w:start w:val="1"/>
      <w:numFmt w:val="lowerLetter"/>
      <w:lvlText w:val="%5."/>
      <w:lvlJc w:val="left"/>
      <w:pPr>
        <w:ind w:left="3600" w:hanging="360"/>
      </w:pPr>
    </w:lvl>
    <w:lvl w:ilvl="5" w:tplc="D2D4A348" w:tentative="1">
      <w:start w:val="1"/>
      <w:numFmt w:val="lowerRoman"/>
      <w:lvlText w:val="%6."/>
      <w:lvlJc w:val="right"/>
      <w:pPr>
        <w:ind w:left="4320" w:hanging="180"/>
      </w:pPr>
    </w:lvl>
    <w:lvl w:ilvl="6" w:tplc="A16C165A" w:tentative="1">
      <w:start w:val="1"/>
      <w:numFmt w:val="decimal"/>
      <w:lvlText w:val="%7."/>
      <w:lvlJc w:val="left"/>
      <w:pPr>
        <w:ind w:left="5040" w:hanging="360"/>
      </w:pPr>
    </w:lvl>
    <w:lvl w:ilvl="7" w:tplc="F5401CB0" w:tentative="1">
      <w:start w:val="1"/>
      <w:numFmt w:val="lowerLetter"/>
      <w:lvlText w:val="%8."/>
      <w:lvlJc w:val="left"/>
      <w:pPr>
        <w:ind w:left="5760" w:hanging="360"/>
      </w:pPr>
    </w:lvl>
    <w:lvl w:ilvl="8" w:tplc="E2FEE222" w:tentative="1">
      <w:start w:val="1"/>
      <w:numFmt w:val="lowerRoman"/>
      <w:lvlText w:val="%9."/>
      <w:lvlJc w:val="right"/>
      <w:pPr>
        <w:ind w:left="6480" w:hanging="180"/>
      </w:pPr>
    </w:lvl>
  </w:abstractNum>
  <w:abstractNum w:abstractNumId="16" w15:restartNumberingAfterBreak="0">
    <w:nsid w:val="74A235BF"/>
    <w:multiLevelType w:val="hybridMultilevel"/>
    <w:tmpl w:val="491649F2"/>
    <w:lvl w:ilvl="0" w:tplc="BC62AB54">
      <w:start w:val="4"/>
      <w:numFmt w:val="bullet"/>
      <w:lvlText w:val="•"/>
      <w:lvlJc w:val="left"/>
      <w:pPr>
        <w:ind w:left="1080" w:hanging="720"/>
      </w:pPr>
      <w:rPr>
        <w:rFonts w:ascii="Tw Cen MT" w:eastAsiaTheme="minorHAnsi" w:hAnsi="Tw Cen MT" w:cs="Arial" w:hint="default"/>
      </w:rPr>
    </w:lvl>
    <w:lvl w:ilvl="1" w:tplc="68421CAE" w:tentative="1">
      <w:start w:val="1"/>
      <w:numFmt w:val="bullet"/>
      <w:lvlText w:val="o"/>
      <w:lvlJc w:val="left"/>
      <w:pPr>
        <w:ind w:left="1440" w:hanging="360"/>
      </w:pPr>
      <w:rPr>
        <w:rFonts w:ascii="Courier New" w:hAnsi="Courier New" w:cs="Courier New" w:hint="default"/>
      </w:rPr>
    </w:lvl>
    <w:lvl w:ilvl="2" w:tplc="A66E3EBE" w:tentative="1">
      <w:start w:val="1"/>
      <w:numFmt w:val="bullet"/>
      <w:lvlText w:val=""/>
      <w:lvlJc w:val="left"/>
      <w:pPr>
        <w:ind w:left="2160" w:hanging="360"/>
      </w:pPr>
      <w:rPr>
        <w:rFonts w:ascii="Wingdings" w:hAnsi="Wingdings" w:hint="default"/>
      </w:rPr>
    </w:lvl>
    <w:lvl w:ilvl="3" w:tplc="5B1E0508" w:tentative="1">
      <w:start w:val="1"/>
      <w:numFmt w:val="bullet"/>
      <w:lvlText w:val=""/>
      <w:lvlJc w:val="left"/>
      <w:pPr>
        <w:ind w:left="2880" w:hanging="360"/>
      </w:pPr>
      <w:rPr>
        <w:rFonts w:ascii="Symbol" w:hAnsi="Symbol" w:hint="default"/>
      </w:rPr>
    </w:lvl>
    <w:lvl w:ilvl="4" w:tplc="87764AE8" w:tentative="1">
      <w:start w:val="1"/>
      <w:numFmt w:val="bullet"/>
      <w:lvlText w:val="o"/>
      <w:lvlJc w:val="left"/>
      <w:pPr>
        <w:ind w:left="3600" w:hanging="360"/>
      </w:pPr>
      <w:rPr>
        <w:rFonts w:ascii="Courier New" w:hAnsi="Courier New" w:cs="Courier New" w:hint="default"/>
      </w:rPr>
    </w:lvl>
    <w:lvl w:ilvl="5" w:tplc="367ECFF8" w:tentative="1">
      <w:start w:val="1"/>
      <w:numFmt w:val="bullet"/>
      <w:lvlText w:val=""/>
      <w:lvlJc w:val="left"/>
      <w:pPr>
        <w:ind w:left="4320" w:hanging="360"/>
      </w:pPr>
      <w:rPr>
        <w:rFonts w:ascii="Wingdings" w:hAnsi="Wingdings" w:hint="default"/>
      </w:rPr>
    </w:lvl>
    <w:lvl w:ilvl="6" w:tplc="D7EACB04" w:tentative="1">
      <w:start w:val="1"/>
      <w:numFmt w:val="bullet"/>
      <w:lvlText w:val=""/>
      <w:lvlJc w:val="left"/>
      <w:pPr>
        <w:ind w:left="5040" w:hanging="360"/>
      </w:pPr>
      <w:rPr>
        <w:rFonts w:ascii="Symbol" w:hAnsi="Symbol" w:hint="default"/>
      </w:rPr>
    </w:lvl>
    <w:lvl w:ilvl="7" w:tplc="0CFCA0B8" w:tentative="1">
      <w:start w:val="1"/>
      <w:numFmt w:val="bullet"/>
      <w:lvlText w:val="o"/>
      <w:lvlJc w:val="left"/>
      <w:pPr>
        <w:ind w:left="5760" w:hanging="360"/>
      </w:pPr>
      <w:rPr>
        <w:rFonts w:ascii="Courier New" w:hAnsi="Courier New" w:cs="Courier New" w:hint="default"/>
      </w:rPr>
    </w:lvl>
    <w:lvl w:ilvl="8" w:tplc="408A7EA0" w:tentative="1">
      <w:start w:val="1"/>
      <w:numFmt w:val="bullet"/>
      <w:lvlText w:val=""/>
      <w:lvlJc w:val="left"/>
      <w:pPr>
        <w:ind w:left="6480" w:hanging="360"/>
      </w:pPr>
      <w:rPr>
        <w:rFonts w:ascii="Wingdings" w:hAnsi="Wingdings" w:hint="default"/>
      </w:rPr>
    </w:lvl>
  </w:abstractNum>
  <w:abstractNum w:abstractNumId="17" w15:restartNumberingAfterBreak="0">
    <w:nsid w:val="7B873EC4"/>
    <w:multiLevelType w:val="hybridMultilevel"/>
    <w:tmpl w:val="2D602296"/>
    <w:lvl w:ilvl="0" w:tplc="281E84FC">
      <w:start w:val="1"/>
      <w:numFmt w:val="bullet"/>
      <w:lvlText w:val=""/>
      <w:lvlJc w:val="left"/>
      <w:pPr>
        <w:ind w:left="360" w:hanging="360"/>
      </w:pPr>
      <w:rPr>
        <w:rFonts w:ascii="Symbol" w:hAnsi="Symbol" w:hint="default"/>
      </w:rPr>
    </w:lvl>
    <w:lvl w:ilvl="1" w:tplc="31BC6024" w:tentative="1">
      <w:start w:val="1"/>
      <w:numFmt w:val="bullet"/>
      <w:lvlText w:val="o"/>
      <w:lvlJc w:val="left"/>
      <w:pPr>
        <w:ind w:left="1080" w:hanging="360"/>
      </w:pPr>
      <w:rPr>
        <w:rFonts w:ascii="Courier New" w:hAnsi="Courier New" w:cs="Courier New" w:hint="default"/>
      </w:rPr>
    </w:lvl>
    <w:lvl w:ilvl="2" w:tplc="9F04DB30" w:tentative="1">
      <w:start w:val="1"/>
      <w:numFmt w:val="bullet"/>
      <w:lvlText w:val=""/>
      <w:lvlJc w:val="left"/>
      <w:pPr>
        <w:ind w:left="1800" w:hanging="360"/>
      </w:pPr>
      <w:rPr>
        <w:rFonts w:ascii="Wingdings" w:hAnsi="Wingdings" w:hint="default"/>
      </w:rPr>
    </w:lvl>
    <w:lvl w:ilvl="3" w:tplc="706415B2" w:tentative="1">
      <w:start w:val="1"/>
      <w:numFmt w:val="bullet"/>
      <w:lvlText w:val=""/>
      <w:lvlJc w:val="left"/>
      <w:pPr>
        <w:ind w:left="2520" w:hanging="360"/>
      </w:pPr>
      <w:rPr>
        <w:rFonts w:ascii="Symbol" w:hAnsi="Symbol" w:hint="default"/>
      </w:rPr>
    </w:lvl>
    <w:lvl w:ilvl="4" w:tplc="B2A0533C" w:tentative="1">
      <w:start w:val="1"/>
      <w:numFmt w:val="bullet"/>
      <w:lvlText w:val="o"/>
      <w:lvlJc w:val="left"/>
      <w:pPr>
        <w:ind w:left="3240" w:hanging="360"/>
      </w:pPr>
      <w:rPr>
        <w:rFonts w:ascii="Courier New" w:hAnsi="Courier New" w:cs="Courier New" w:hint="default"/>
      </w:rPr>
    </w:lvl>
    <w:lvl w:ilvl="5" w:tplc="A74A2DE8" w:tentative="1">
      <w:start w:val="1"/>
      <w:numFmt w:val="bullet"/>
      <w:lvlText w:val=""/>
      <w:lvlJc w:val="left"/>
      <w:pPr>
        <w:ind w:left="3960" w:hanging="360"/>
      </w:pPr>
      <w:rPr>
        <w:rFonts w:ascii="Wingdings" w:hAnsi="Wingdings" w:hint="default"/>
      </w:rPr>
    </w:lvl>
    <w:lvl w:ilvl="6" w:tplc="9F868702" w:tentative="1">
      <w:start w:val="1"/>
      <w:numFmt w:val="bullet"/>
      <w:lvlText w:val=""/>
      <w:lvlJc w:val="left"/>
      <w:pPr>
        <w:ind w:left="4680" w:hanging="360"/>
      </w:pPr>
      <w:rPr>
        <w:rFonts w:ascii="Symbol" w:hAnsi="Symbol" w:hint="default"/>
      </w:rPr>
    </w:lvl>
    <w:lvl w:ilvl="7" w:tplc="FDDC695C" w:tentative="1">
      <w:start w:val="1"/>
      <w:numFmt w:val="bullet"/>
      <w:lvlText w:val="o"/>
      <w:lvlJc w:val="left"/>
      <w:pPr>
        <w:ind w:left="5400" w:hanging="360"/>
      </w:pPr>
      <w:rPr>
        <w:rFonts w:ascii="Courier New" w:hAnsi="Courier New" w:cs="Courier New" w:hint="default"/>
      </w:rPr>
    </w:lvl>
    <w:lvl w:ilvl="8" w:tplc="66B6CC28" w:tentative="1">
      <w:start w:val="1"/>
      <w:numFmt w:val="bullet"/>
      <w:lvlText w:val=""/>
      <w:lvlJc w:val="left"/>
      <w:pPr>
        <w:ind w:left="6120" w:hanging="360"/>
      </w:pPr>
      <w:rPr>
        <w:rFonts w:ascii="Wingdings" w:hAnsi="Wingdings" w:hint="default"/>
      </w:rPr>
    </w:lvl>
  </w:abstractNum>
  <w:abstractNum w:abstractNumId="18" w15:restartNumberingAfterBreak="0">
    <w:nsid w:val="7D23741A"/>
    <w:multiLevelType w:val="hybridMultilevel"/>
    <w:tmpl w:val="9508C9D0"/>
    <w:lvl w:ilvl="0" w:tplc="9E8C0F22">
      <w:start w:val="1"/>
      <w:numFmt w:val="bullet"/>
      <w:lvlText w:val=""/>
      <w:lvlJc w:val="left"/>
      <w:pPr>
        <w:ind w:left="720" w:hanging="360"/>
      </w:pPr>
      <w:rPr>
        <w:rFonts w:ascii="Symbol" w:hAnsi="Symbol" w:hint="default"/>
      </w:rPr>
    </w:lvl>
    <w:lvl w:ilvl="1" w:tplc="E208E282" w:tentative="1">
      <w:start w:val="1"/>
      <w:numFmt w:val="bullet"/>
      <w:lvlText w:val="o"/>
      <w:lvlJc w:val="left"/>
      <w:pPr>
        <w:ind w:left="1440" w:hanging="360"/>
      </w:pPr>
      <w:rPr>
        <w:rFonts w:ascii="Courier New" w:hAnsi="Courier New" w:cs="Courier New" w:hint="default"/>
      </w:rPr>
    </w:lvl>
    <w:lvl w:ilvl="2" w:tplc="567C6C2A" w:tentative="1">
      <w:start w:val="1"/>
      <w:numFmt w:val="bullet"/>
      <w:lvlText w:val=""/>
      <w:lvlJc w:val="left"/>
      <w:pPr>
        <w:ind w:left="2160" w:hanging="360"/>
      </w:pPr>
      <w:rPr>
        <w:rFonts w:ascii="Wingdings" w:hAnsi="Wingdings" w:hint="default"/>
      </w:rPr>
    </w:lvl>
    <w:lvl w:ilvl="3" w:tplc="E06C3CF8" w:tentative="1">
      <w:start w:val="1"/>
      <w:numFmt w:val="bullet"/>
      <w:lvlText w:val=""/>
      <w:lvlJc w:val="left"/>
      <w:pPr>
        <w:ind w:left="2880" w:hanging="360"/>
      </w:pPr>
      <w:rPr>
        <w:rFonts w:ascii="Symbol" w:hAnsi="Symbol" w:hint="default"/>
      </w:rPr>
    </w:lvl>
    <w:lvl w:ilvl="4" w:tplc="41A6EA32" w:tentative="1">
      <w:start w:val="1"/>
      <w:numFmt w:val="bullet"/>
      <w:lvlText w:val="o"/>
      <w:lvlJc w:val="left"/>
      <w:pPr>
        <w:ind w:left="3600" w:hanging="360"/>
      </w:pPr>
      <w:rPr>
        <w:rFonts w:ascii="Courier New" w:hAnsi="Courier New" w:cs="Courier New" w:hint="default"/>
      </w:rPr>
    </w:lvl>
    <w:lvl w:ilvl="5" w:tplc="069A8D2E" w:tentative="1">
      <w:start w:val="1"/>
      <w:numFmt w:val="bullet"/>
      <w:lvlText w:val=""/>
      <w:lvlJc w:val="left"/>
      <w:pPr>
        <w:ind w:left="4320" w:hanging="360"/>
      </w:pPr>
      <w:rPr>
        <w:rFonts w:ascii="Wingdings" w:hAnsi="Wingdings" w:hint="default"/>
      </w:rPr>
    </w:lvl>
    <w:lvl w:ilvl="6" w:tplc="8BA6E524" w:tentative="1">
      <w:start w:val="1"/>
      <w:numFmt w:val="bullet"/>
      <w:lvlText w:val=""/>
      <w:lvlJc w:val="left"/>
      <w:pPr>
        <w:ind w:left="5040" w:hanging="360"/>
      </w:pPr>
      <w:rPr>
        <w:rFonts w:ascii="Symbol" w:hAnsi="Symbol" w:hint="default"/>
      </w:rPr>
    </w:lvl>
    <w:lvl w:ilvl="7" w:tplc="3366389C" w:tentative="1">
      <w:start w:val="1"/>
      <w:numFmt w:val="bullet"/>
      <w:lvlText w:val="o"/>
      <w:lvlJc w:val="left"/>
      <w:pPr>
        <w:ind w:left="5760" w:hanging="360"/>
      </w:pPr>
      <w:rPr>
        <w:rFonts w:ascii="Courier New" w:hAnsi="Courier New" w:cs="Courier New" w:hint="default"/>
      </w:rPr>
    </w:lvl>
    <w:lvl w:ilvl="8" w:tplc="1EF4D706"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14"/>
  </w:num>
  <w:num w:numId="6">
    <w:abstractNumId w:val="4"/>
  </w:num>
  <w:num w:numId="7">
    <w:abstractNumId w:val="2"/>
  </w:num>
  <w:num w:numId="8">
    <w:abstractNumId w:val="15"/>
  </w:num>
  <w:num w:numId="9">
    <w:abstractNumId w:val="3"/>
  </w:num>
  <w:num w:numId="10">
    <w:abstractNumId w:val="18"/>
  </w:num>
  <w:num w:numId="11">
    <w:abstractNumId w:val="11"/>
  </w:num>
  <w:num w:numId="12">
    <w:abstractNumId w:val="5"/>
  </w:num>
  <w:num w:numId="13">
    <w:abstractNumId w:val="9"/>
  </w:num>
  <w:num w:numId="14">
    <w:abstractNumId w:val="8"/>
  </w:num>
  <w:num w:numId="15">
    <w:abstractNumId w:val="10"/>
  </w:num>
  <w:num w:numId="16">
    <w:abstractNumId w:val="12"/>
  </w:num>
  <w:num w:numId="17">
    <w:abstractNumId w:val="1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60"/>
    <w:rsid w:val="00244A2A"/>
    <w:rsid w:val="00540554"/>
    <w:rsid w:val="00A717B2"/>
    <w:rsid w:val="00FF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C7DB"/>
  <w15:docId w15:val="{E0E1F5D2-983D-4364-AC28-799E3F4C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1A"/>
    <w:pPr>
      <w:tabs>
        <w:tab w:val="center" w:pos="4680"/>
        <w:tab w:val="right" w:pos="9360"/>
      </w:tabs>
    </w:pPr>
  </w:style>
  <w:style w:type="character" w:customStyle="1" w:styleId="HeaderChar">
    <w:name w:val="Header Char"/>
    <w:basedOn w:val="DefaultParagraphFont"/>
    <w:link w:val="Header"/>
    <w:uiPriority w:val="99"/>
    <w:rsid w:val="00566D1A"/>
  </w:style>
  <w:style w:type="paragraph" w:styleId="Footer">
    <w:name w:val="footer"/>
    <w:basedOn w:val="Normal"/>
    <w:link w:val="FooterChar"/>
    <w:uiPriority w:val="99"/>
    <w:unhideWhenUsed/>
    <w:rsid w:val="00566D1A"/>
    <w:pPr>
      <w:tabs>
        <w:tab w:val="center" w:pos="4680"/>
        <w:tab w:val="right" w:pos="9360"/>
      </w:tabs>
    </w:pPr>
  </w:style>
  <w:style w:type="character" w:customStyle="1" w:styleId="FooterChar">
    <w:name w:val="Footer Char"/>
    <w:basedOn w:val="DefaultParagraphFont"/>
    <w:link w:val="Footer"/>
    <w:uiPriority w:val="99"/>
    <w:rsid w:val="00566D1A"/>
  </w:style>
  <w:style w:type="paragraph" w:customStyle="1" w:styleId="BasicParagraph">
    <w:name w:val="[Basic Paragraph]"/>
    <w:basedOn w:val="Normal"/>
    <w:uiPriority w:val="99"/>
    <w:rsid w:val="00566D1A"/>
    <w:pPr>
      <w:autoSpaceDE w:val="0"/>
      <w:autoSpaceDN w:val="0"/>
      <w:adjustRightInd w:val="0"/>
      <w:spacing w:line="288" w:lineRule="auto"/>
      <w:textAlignment w:val="center"/>
    </w:pPr>
    <w:rPr>
      <w:rFonts w:ascii="Minion Pro" w:hAnsi="Minion Pro" w:cs="Minion Pro"/>
      <w:color w:val="000000"/>
    </w:rPr>
  </w:style>
  <w:style w:type="paragraph" w:customStyle="1" w:styleId="LCPFHeading">
    <w:name w:val="LCPF Heading"/>
    <w:basedOn w:val="Normal"/>
    <w:qFormat/>
    <w:rsid w:val="005F796F"/>
    <w:pPr>
      <w:autoSpaceDE w:val="0"/>
      <w:autoSpaceDN w:val="0"/>
      <w:adjustRightInd w:val="0"/>
      <w:spacing w:line="288" w:lineRule="auto"/>
      <w:textAlignment w:val="center"/>
    </w:pPr>
    <w:rPr>
      <w:rFonts w:ascii="Tiempos Headline Semibold" w:hAnsi="Tiempos Headline Semibold" w:cs="Tiempos Headline Semibold"/>
      <w:color w:val="09806F"/>
      <w:sz w:val="64"/>
      <w:szCs w:val="64"/>
    </w:rPr>
  </w:style>
  <w:style w:type="paragraph" w:customStyle="1" w:styleId="Style1">
    <w:name w:val="Style1"/>
    <w:basedOn w:val="Normal"/>
    <w:link w:val="Style1Char"/>
    <w:qFormat/>
    <w:rsid w:val="00AB1054"/>
    <w:pPr>
      <w:suppressAutoHyphens/>
      <w:autoSpaceDE w:val="0"/>
      <w:autoSpaceDN w:val="0"/>
      <w:adjustRightInd w:val="0"/>
      <w:spacing w:before="120" w:after="120" w:line="360" w:lineRule="auto"/>
      <w:textAlignment w:val="center"/>
    </w:pPr>
    <w:rPr>
      <w:rFonts w:ascii="MrEavesSanOTBook" w:hAnsi="MrEavesSanOTBook" w:cs="MrEavesSanOTBook"/>
      <w:color w:val="000000"/>
      <w:szCs w:val="21"/>
    </w:rPr>
  </w:style>
  <w:style w:type="character" w:styleId="PageNumber">
    <w:name w:val="page number"/>
    <w:basedOn w:val="DefaultParagraphFont"/>
    <w:uiPriority w:val="99"/>
    <w:semiHidden/>
    <w:unhideWhenUsed/>
    <w:rsid w:val="006076CE"/>
  </w:style>
  <w:style w:type="paragraph" w:customStyle="1" w:styleId="LCPFBodyCopy">
    <w:name w:val="LCPF Body Copy"/>
    <w:basedOn w:val="Normal"/>
    <w:qFormat/>
    <w:rsid w:val="006E5FD0"/>
    <w:pPr>
      <w:suppressAutoHyphens/>
      <w:autoSpaceDE w:val="0"/>
      <w:autoSpaceDN w:val="0"/>
      <w:adjustRightInd w:val="0"/>
      <w:spacing w:after="142"/>
      <w:textAlignment w:val="center"/>
    </w:pPr>
    <w:rPr>
      <w:rFonts w:ascii="MrEavesSanOTBook" w:hAnsi="MrEavesSanOTBook" w:cs="MrEavesSanOTBook"/>
      <w:color w:val="000000"/>
      <w:sz w:val="22"/>
      <w:szCs w:val="22"/>
    </w:rPr>
  </w:style>
  <w:style w:type="paragraph" w:customStyle="1" w:styleId="LCPFIntro">
    <w:name w:val="LCPF Intro"/>
    <w:basedOn w:val="Normal"/>
    <w:qFormat/>
    <w:rsid w:val="00DE783D"/>
    <w:pPr>
      <w:suppressAutoHyphens/>
      <w:autoSpaceDE w:val="0"/>
      <w:autoSpaceDN w:val="0"/>
      <w:adjustRightInd w:val="0"/>
      <w:spacing w:after="0" w:line="276" w:lineRule="auto"/>
      <w:textAlignment w:val="center"/>
    </w:pPr>
    <w:rPr>
      <w:rFonts w:ascii="Tiempos Headline Semibold" w:hAnsi="Tiempos Headline Semibold" w:cs="Tiempos Headline Semibold"/>
      <w:color w:val="09806F"/>
    </w:rPr>
  </w:style>
  <w:style w:type="paragraph" w:styleId="Revision">
    <w:name w:val="Revision"/>
    <w:hidden/>
    <w:uiPriority w:val="99"/>
    <w:semiHidden/>
    <w:rsid w:val="00AB3BDD"/>
    <w:pPr>
      <w:spacing w:after="0"/>
    </w:pPr>
  </w:style>
  <w:style w:type="table" w:styleId="TableGrid">
    <w:name w:val="Table Grid"/>
    <w:basedOn w:val="TableNormal"/>
    <w:uiPriority w:val="59"/>
    <w:rsid w:val="000D0C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0D0C9F"/>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0D0C9F"/>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10ptTableCopy">
    <w:name w:val="10pt Table Copy"/>
    <w:basedOn w:val="Normal"/>
    <w:uiPriority w:val="99"/>
    <w:rsid w:val="000D0C9F"/>
    <w:pPr>
      <w:suppressAutoHyphens/>
      <w:autoSpaceDE w:val="0"/>
      <w:autoSpaceDN w:val="0"/>
      <w:adjustRightInd w:val="0"/>
      <w:spacing w:after="85" w:line="250" w:lineRule="atLeast"/>
      <w:textAlignment w:val="center"/>
    </w:pPr>
    <w:rPr>
      <w:rFonts w:ascii="MrEavesSanOT" w:hAnsi="MrEavesSanOT"/>
      <w:color w:val="000000"/>
      <w:sz w:val="20"/>
      <w:szCs w:val="20"/>
    </w:rPr>
  </w:style>
  <w:style w:type="paragraph" w:customStyle="1" w:styleId="SubHeading-Orange">
    <w:name w:val="Sub Heading - Orange"/>
    <w:basedOn w:val="Normal"/>
    <w:uiPriority w:val="99"/>
    <w:rsid w:val="000D0C9F"/>
    <w:pPr>
      <w:suppressAutoHyphens/>
      <w:autoSpaceDE w:val="0"/>
      <w:autoSpaceDN w:val="0"/>
      <w:adjustRightInd w:val="0"/>
      <w:spacing w:after="0" w:line="500" w:lineRule="atLeast"/>
      <w:textAlignment w:val="center"/>
    </w:pPr>
    <w:rPr>
      <w:rFonts w:ascii="Tiempos Headline Semibold" w:hAnsi="Tiempos Headline Semibold" w:cs="Tiempos Headline Semibold"/>
      <w:color w:val="F28C22"/>
      <w:sz w:val="44"/>
      <w:szCs w:val="44"/>
    </w:rPr>
  </w:style>
  <w:style w:type="paragraph" w:customStyle="1" w:styleId="BodySerifHeading">
    <w:name w:val="Body Serif Heading"/>
    <w:basedOn w:val="Normal"/>
    <w:uiPriority w:val="99"/>
    <w:rsid w:val="00F1777A"/>
    <w:pPr>
      <w:suppressAutoHyphens/>
      <w:autoSpaceDE w:val="0"/>
      <w:autoSpaceDN w:val="0"/>
      <w:adjustRightInd w:val="0"/>
      <w:spacing w:after="85" w:line="280" w:lineRule="atLeast"/>
      <w:textAlignment w:val="center"/>
    </w:pPr>
    <w:rPr>
      <w:rFonts w:ascii="Tiempos Headline Semibold" w:hAnsi="Tiempos Headline Semibold" w:cs="Tiempos Headline Semibold"/>
      <w:color w:val="F28C22"/>
    </w:rPr>
  </w:style>
  <w:style w:type="paragraph" w:customStyle="1" w:styleId="BodyCopy">
    <w:name w:val="Body Copy"/>
    <w:basedOn w:val="Normal"/>
    <w:uiPriority w:val="99"/>
    <w:rsid w:val="00BD21E5"/>
    <w:pPr>
      <w:suppressAutoHyphens/>
      <w:autoSpaceDE w:val="0"/>
      <w:autoSpaceDN w:val="0"/>
      <w:adjustRightInd w:val="0"/>
      <w:spacing w:after="85" w:line="250" w:lineRule="atLeast"/>
      <w:textAlignment w:val="center"/>
    </w:pPr>
    <w:rPr>
      <w:rFonts w:ascii="MrEavesSanOTBook" w:hAnsi="MrEavesSanOTBook" w:cs="MrEavesSanOTBook"/>
      <w:color w:val="000000"/>
      <w:sz w:val="22"/>
      <w:szCs w:val="22"/>
    </w:rPr>
  </w:style>
  <w:style w:type="table" w:styleId="ListTable5Dark-Accent6">
    <w:name w:val="List Table 5 Dark Accent 6"/>
    <w:basedOn w:val="TableNormal"/>
    <w:uiPriority w:val="50"/>
    <w:rsid w:val="00B57E86"/>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B57E8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Bullet">
    <w:name w:val="List Bullet"/>
    <w:basedOn w:val="Normal"/>
    <w:uiPriority w:val="99"/>
    <w:unhideWhenUsed/>
    <w:rsid w:val="003627B6"/>
    <w:pPr>
      <w:numPr>
        <w:numId w:val="1"/>
      </w:numPr>
      <w:contextualSpacing/>
    </w:pPr>
  </w:style>
  <w:style w:type="paragraph" w:styleId="ListParagraph">
    <w:name w:val="List Paragraph"/>
    <w:basedOn w:val="Normal"/>
    <w:uiPriority w:val="34"/>
    <w:unhideWhenUsed/>
    <w:qFormat/>
    <w:rsid w:val="003C5B97"/>
    <w:pPr>
      <w:autoSpaceDE w:val="0"/>
      <w:autoSpaceDN w:val="0"/>
      <w:adjustRightInd w:val="0"/>
      <w:spacing w:after="120"/>
      <w:ind w:left="720"/>
      <w:contextualSpacing/>
      <w:jc w:val="both"/>
    </w:pPr>
    <w:rPr>
      <w:rFonts w:ascii="Arial" w:eastAsia="Calibri" w:hAnsi="Arial" w:cs="Helvetica-Light"/>
      <w:color w:val="000000"/>
    </w:rPr>
  </w:style>
  <w:style w:type="paragraph" w:customStyle="1" w:styleId="legp2paratext1">
    <w:name w:val="legp2paratext1"/>
    <w:basedOn w:val="Normal"/>
    <w:rsid w:val="003C5B97"/>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3C5B97"/>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3C5B97"/>
    <w:rPr>
      <w:vanish w:val="0"/>
      <w:webHidden w:val="0"/>
      <w:specVanish w:val="0"/>
    </w:rPr>
  </w:style>
  <w:style w:type="character" w:styleId="Hyperlink">
    <w:name w:val="Hyperlink"/>
    <w:basedOn w:val="DefaultParagraphFont"/>
    <w:uiPriority w:val="99"/>
    <w:unhideWhenUsed/>
    <w:rsid w:val="00887F52"/>
    <w:rPr>
      <w:color w:val="0563C1" w:themeColor="hyperlink"/>
      <w:u w:val="single"/>
    </w:rPr>
  </w:style>
  <w:style w:type="character" w:customStyle="1" w:styleId="UnresolvedMention1">
    <w:name w:val="Unresolved Mention1"/>
    <w:basedOn w:val="DefaultParagraphFont"/>
    <w:uiPriority w:val="99"/>
    <w:semiHidden/>
    <w:unhideWhenUsed/>
    <w:rsid w:val="00887F52"/>
    <w:rPr>
      <w:color w:val="605E5C"/>
      <w:shd w:val="clear" w:color="auto" w:fill="E1DFDD"/>
    </w:rPr>
  </w:style>
  <w:style w:type="paragraph" w:styleId="BalloonText">
    <w:name w:val="Balloon Text"/>
    <w:basedOn w:val="Normal"/>
    <w:link w:val="BalloonTextChar"/>
    <w:uiPriority w:val="99"/>
    <w:semiHidden/>
    <w:unhideWhenUsed/>
    <w:rsid w:val="00B55D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B5"/>
    <w:rPr>
      <w:rFonts w:ascii="Segoe UI" w:hAnsi="Segoe UI" w:cs="Segoe UI"/>
      <w:sz w:val="18"/>
      <w:szCs w:val="18"/>
    </w:rPr>
  </w:style>
  <w:style w:type="character" w:styleId="FollowedHyperlink">
    <w:name w:val="FollowedHyperlink"/>
    <w:basedOn w:val="DefaultParagraphFont"/>
    <w:uiPriority w:val="99"/>
    <w:semiHidden/>
    <w:unhideWhenUsed/>
    <w:rsid w:val="00F81E73"/>
    <w:rPr>
      <w:color w:val="954F72" w:themeColor="followedHyperlink"/>
      <w:u w:val="single"/>
    </w:rPr>
  </w:style>
  <w:style w:type="character" w:customStyle="1" w:styleId="Style1Char">
    <w:name w:val="Style1 Char"/>
    <w:link w:val="Style1"/>
    <w:locked/>
    <w:rsid w:val="001A6106"/>
    <w:rPr>
      <w:rFonts w:ascii="MrEavesSanOTBook" w:hAnsi="MrEavesSanOTBook" w:cs="MrEavesSanOTBook"/>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ouncil/finance/lancashire-pension-fund/lancashire-fund-information/" TargetMode="External"/><Relationship Id="rId22" Type="http://schemas.openxmlformats.org/officeDocument/2006/relationships/theme" Target="theme/theme1.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8" ma:contentTypeDescription="Create a new document." ma:contentTypeScope="" ma:versionID="6a94fb922feb4cb432b01589f5e3c246">
  <xsd:schema xmlns:xsd="http://www.w3.org/2001/XMLSchema" xmlns:xs="http://www.w3.org/2001/XMLSchema" xmlns:p="http://schemas.microsoft.com/office/2006/metadata/properties" xmlns:ns3="12ffee0c-db4f-4737-adef-c0e974189c5d" targetNamespace="http://schemas.microsoft.com/office/2006/metadata/properties" ma:root="true" ma:fieldsID="ef4f194c96bf317f9cdb059d41b54892" ns3:_="">
    <xsd:import namespace="12ffee0c-db4f-4737-adef-c0e974189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55CA-A2EF-4172-B0EA-2F2D4E9E4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85BA1-9E01-4663-A160-10B5E98B7803}">
  <ds:schemaRefs>
    <ds:schemaRef ds:uri="http://schemas.microsoft.com/sharepoint/v3/contenttype/forms"/>
  </ds:schemaRefs>
</ds:datastoreItem>
</file>

<file path=customXml/itemProps3.xml><?xml version="1.0" encoding="utf-8"?>
<ds:datastoreItem xmlns:ds="http://schemas.openxmlformats.org/officeDocument/2006/customXml" ds:itemID="{F42DF1E0-B83F-4040-99DC-220454D2C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D7E4C-5AF6-4C6B-874E-6C4A39EA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Thompson</dc:creator>
  <cp:lastModifiedBy>Neville, Mike</cp:lastModifiedBy>
  <cp:revision>10</cp:revision>
  <cp:lastPrinted>2021-04-19T15:18:00Z</cp:lastPrinted>
  <dcterms:created xsi:type="dcterms:W3CDTF">2021-06-04T10:40:00Z</dcterms:created>
  <dcterms:modified xsi:type="dcterms:W3CDTF">2021-06-09T07:46:00Z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